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A6282">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西藏自治区那曲市聂荣县人民法院机关</w:t>
      </w:r>
    </w:p>
    <w:p w14:paraId="535846D4">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auto"/>
          <w:sz w:val="44"/>
          <w:szCs w:val="44"/>
        </w:rPr>
      </w:pPr>
      <w:bookmarkStart w:id="121" w:name="_GoBack"/>
      <w:bookmarkEnd w:id="121"/>
      <w:r>
        <w:rPr>
          <w:rFonts w:hint="default" w:ascii="Times New Roman" w:hAnsi="Times New Roman" w:eastAsia="方正小标宋简体" w:cs="Times New Roman"/>
          <w:b w:val="0"/>
          <w:bCs w:val="0"/>
          <w:color w:val="auto"/>
          <w:sz w:val="44"/>
          <w:szCs w:val="44"/>
        </w:rPr>
        <w:t>202</w:t>
      </w:r>
      <w:r>
        <w:rPr>
          <w:rFonts w:hint="default" w:ascii="Times New Roman" w:hAnsi="Times New Roman" w:eastAsia="方正小标宋简体" w:cs="Times New Roman"/>
          <w:b w:val="0"/>
          <w:bCs w:val="0"/>
          <w:color w:val="auto"/>
          <w:sz w:val="44"/>
          <w:szCs w:val="44"/>
          <w:lang w:val="en-US" w:eastAsia="zh-CN"/>
        </w:rPr>
        <w:t>5</w:t>
      </w:r>
      <w:r>
        <w:rPr>
          <w:rFonts w:hint="default" w:ascii="Times New Roman" w:hAnsi="Times New Roman" w:eastAsia="方正小标宋简体" w:cs="Times New Roman"/>
          <w:b w:val="0"/>
          <w:bCs w:val="0"/>
          <w:color w:val="auto"/>
          <w:sz w:val="44"/>
          <w:szCs w:val="44"/>
        </w:rPr>
        <w:t>年度部门决算公开报告</w:t>
      </w:r>
    </w:p>
    <w:p w14:paraId="0712C8FD">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仿宋简体" w:cs="Times New Roman"/>
          <w:b/>
          <w:color w:val="auto"/>
          <w:sz w:val="32"/>
          <w:szCs w:val="32"/>
        </w:rPr>
      </w:pPr>
    </w:p>
    <w:p w14:paraId="189AB45E">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仿宋简体" w:cs="Times New Roman"/>
          <w:color w:val="auto"/>
          <w:sz w:val="44"/>
          <w:szCs w:val="44"/>
        </w:rPr>
      </w:pPr>
      <w:bookmarkStart w:id="0" w:name="_Toc11440_WPSOffice_Type2"/>
      <w:r>
        <w:rPr>
          <w:rFonts w:hint="default" w:ascii="Times New Roman" w:hAnsi="Times New Roman" w:eastAsia="方正仿宋简体" w:cs="Times New Roman"/>
          <w:color w:val="auto"/>
          <w:sz w:val="44"/>
          <w:szCs w:val="44"/>
        </w:rPr>
        <w:t>目  录</w:t>
      </w:r>
    </w:p>
    <w:p w14:paraId="038390F1">
      <w:pPr>
        <w:pStyle w:val="15"/>
        <w:keepNext w:val="0"/>
        <w:keepLines w:val="0"/>
        <w:pageBreakBefore w:val="0"/>
        <w:tabs>
          <w:tab w:val="right" w:leader="dot" w:pos="8306"/>
        </w:tabs>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fldChar w:fldCharType="begin"/>
      </w:r>
      <w:r>
        <w:rPr>
          <w:rFonts w:hint="default" w:ascii="Times New Roman" w:hAnsi="Times New Roman" w:eastAsia="黑体" w:cs="Times New Roman"/>
          <w:color w:val="auto"/>
          <w:sz w:val="32"/>
          <w:szCs w:val="32"/>
        </w:rPr>
        <w:instrText xml:space="preserve"> HYPERLINK \l _Toc1704_WPSOffice_Level1 </w:instrText>
      </w:r>
      <w:r>
        <w:rPr>
          <w:rFonts w:hint="default" w:ascii="Times New Roman" w:hAnsi="Times New Roman" w:eastAsia="黑体" w:cs="Times New Roman"/>
          <w:color w:val="auto"/>
          <w:sz w:val="32"/>
          <w:szCs w:val="32"/>
        </w:rPr>
        <w:fldChar w:fldCharType="separate"/>
      </w:r>
      <w:r>
        <w:rPr>
          <w:rFonts w:hint="default" w:ascii="Times New Roman" w:hAnsi="Times New Roman" w:eastAsia="黑体" w:cs="Times New Roman"/>
          <w:color w:val="auto"/>
          <w:sz w:val="32"/>
          <w:szCs w:val="32"/>
        </w:rPr>
        <w:t>第一部分 基本情况</w:t>
      </w:r>
      <w:r>
        <w:rPr>
          <w:rFonts w:hint="default" w:ascii="Times New Roman" w:hAnsi="Times New Roman" w:eastAsia="黑体" w:cs="Times New Roman"/>
          <w:color w:val="auto"/>
          <w:sz w:val="32"/>
          <w:szCs w:val="32"/>
        </w:rPr>
        <w:tab/>
      </w:r>
      <w:r>
        <w:rPr>
          <w:rFonts w:hint="default" w:ascii="Times New Roman" w:hAnsi="Times New Roman" w:eastAsia="黑体" w:cs="Times New Roman"/>
          <w:color w:val="auto"/>
          <w:sz w:val="32"/>
          <w:szCs w:val="32"/>
        </w:rPr>
        <w:fldChar w:fldCharType="end"/>
      </w:r>
      <w:r>
        <w:rPr>
          <w:rFonts w:hint="default" w:ascii="Times New Roman" w:hAnsi="Times New Roman" w:eastAsia="黑体" w:cs="Times New Roman"/>
          <w:color w:val="auto"/>
          <w:sz w:val="32"/>
          <w:szCs w:val="32"/>
        </w:rPr>
        <w:t>2</w:t>
      </w:r>
    </w:p>
    <w:p w14:paraId="76C42567">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_Toc20274_WPSOffice_Level2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color w:val="auto"/>
          <w:sz w:val="32"/>
          <w:szCs w:val="32"/>
        </w:rPr>
        <w:t>一、部门（单位）职责</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2</w:t>
      </w:r>
    </w:p>
    <w:p w14:paraId="307DABBC">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_Toc4833_WPSOffice_Level2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color w:val="auto"/>
          <w:sz w:val="32"/>
          <w:szCs w:val="32"/>
        </w:rPr>
        <w:t>二、机构设置</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2</w:t>
      </w:r>
    </w:p>
    <w:p w14:paraId="0E2BC985">
      <w:pPr>
        <w:pStyle w:val="15"/>
        <w:keepNext w:val="0"/>
        <w:keepLines w:val="0"/>
        <w:pageBreakBefore w:val="0"/>
        <w:tabs>
          <w:tab w:val="right" w:leader="dot" w:pos="8306"/>
        </w:tabs>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fldChar w:fldCharType="begin"/>
      </w:r>
      <w:r>
        <w:rPr>
          <w:rFonts w:hint="default" w:ascii="Times New Roman" w:hAnsi="Times New Roman" w:eastAsia="黑体" w:cs="Times New Roman"/>
          <w:color w:val="auto"/>
          <w:sz w:val="32"/>
          <w:szCs w:val="32"/>
        </w:rPr>
        <w:instrText xml:space="preserve"> HYPERLINK \l _Toc28253_WPSOffice_Level1 </w:instrText>
      </w:r>
      <w:r>
        <w:rPr>
          <w:rFonts w:hint="default" w:ascii="Times New Roman" w:hAnsi="Times New Roman" w:eastAsia="黑体" w:cs="Times New Roman"/>
          <w:color w:val="auto"/>
          <w:sz w:val="32"/>
          <w:szCs w:val="32"/>
        </w:rPr>
        <w:fldChar w:fldCharType="separate"/>
      </w:r>
      <w:r>
        <w:rPr>
          <w:rFonts w:hint="default" w:ascii="Times New Roman" w:hAnsi="Times New Roman" w:eastAsia="黑体" w:cs="Times New Roman"/>
          <w:color w:val="auto"/>
          <w:sz w:val="32"/>
          <w:szCs w:val="32"/>
        </w:rPr>
        <w:t xml:space="preserve">第二部分  </w:t>
      </w:r>
      <w:r>
        <w:rPr>
          <w:rFonts w:hint="default" w:ascii="Times New Roman" w:hAnsi="Times New Roman" w:eastAsia="黑体" w:cs="Times New Roman"/>
          <w:color w:val="auto"/>
          <w:sz w:val="32"/>
          <w:szCs w:val="32"/>
          <w:lang w:val="en-US"/>
        </w:rPr>
        <w:t>202</w:t>
      </w:r>
      <w:r>
        <w:rPr>
          <w:rFonts w:hint="default" w:ascii="Times New Roman" w:hAnsi="Times New Roman" w:eastAsia="黑体" w:cs="Times New Roman"/>
          <w:color w:val="auto"/>
          <w:sz w:val="32"/>
          <w:szCs w:val="32"/>
          <w:lang w:val="en-US" w:eastAsia="zh-CN"/>
        </w:rPr>
        <w:t>5</w:t>
      </w:r>
      <w:r>
        <w:rPr>
          <w:rFonts w:hint="default" w:ascii="Times New Roman" w:hAnsi="Times New Roman" w:eastAsia="黑体" w:cs="Times New Roman"/>
          <w:color w:val="auto"/>
          <w:sz w:val="32"/>
          <w:szCs w:val="32"/>
        </w:rPr>
        <w:t>年度部门决算公开表</w:t>
      </w:r>
      <w:r>
        <w:rPr>
          <w:rFonts w:hint="default" w:ascii="Times New Roman" w:hAnsi="Times New Roman" w:eastAsia="黑体" w:cs="Times New Roman"/>
          <w:color w:val="auto"/>
          <w:sz w:val="32"/>
          <w:szCs w:val="32"/>
        </w:rPr>
        <w:tab/>
      </w:r>
      <w:r>
        <w:rPr>
          <w:rFonts w:hint="default" w:ascii="Times New Roman" w:hAnsi="Times New Roman" w:eastAsia="黑体" w:cs="Times New Roman"/>
          <w:color w:val="auto"/>
          <w:sz w:val="32"/>
          <w:szCs w:val="32"/>
        </w:rPr>
        <w:fldChar w:fldCharType="end"/>
      </w:r>
      <w:r>
        <w:rPr>
          <w:rFonts w:hint="default" w:ascii="Times New Roman" w:hAnsi="Times New Roman" w:eastAsia="黑体" w:cs="Times New Roman"/>
          <w:color w:val="auto"/>
          <w:sz w:val="32"/>
          <w:szCs w:val="32"/>
        </w:rPr>
        <w:t>2</w:t>
      </w:r>
    </w:p>
    <w:p w14:paraId="3D670E63">
      <w:pPr>
        <w:pStyle w:val="15"/>
        <w:keepNext w:val="0"/>
        <w:keepLines w:val="0"/>
        <w:pageBreakBefore w:val="0"/>
        <w:tabs>
          <w:tab w:val="right" w:leader="dot" w:pos="8306"/>
        </w:tabs>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fldChar w:fldCharType="begin"/>
      </w:r>
      <w:r>
        <w:rPr>
          <w:rFonts w:hint="default" w:ascii="Times New Roman" w:hAnsi="Times New Roman" w:eastAsia="黑体" w:cs="Times New Roman"/>
          <w:color w:val="auto"/>
          <w:sz w:val="32"/>
          <w:szCs w:val="32"/>
        </w:rPr>
        <w:instrText xml:space="preserve"> HYPERLINK \l _Toc27590_WPSOffice_Level1 </w:instrText>
      </w:r>
      <w:r>
        <w:rPr>
          <w:rFonts w:hint="default" w:ascii="Times New Roman" w:hAnsi="Times New Roman" w:eastAsia="黑体" w:cs="Times New Roman"/>
          <w:color w:val="auto"/>
          <w:sz w:val="32"/>
          <w:szCs w:val="32"/>
        </w:rPr>
        <w:fldChar w:fldCharType="separate"/>
      </w:r>
      <w:r>
        <w:rPr>
          <w:rFonts w:hint="default" w:ascii="Times New Roman" w:hAnsi="Times New Roman" w:eastAsia="黑体" w:cs="Times New Roman"/>
          <w:color w:val="auto"/>
          <w:sz w:val="32"/>
          <w:szCs w:val="32"/>
        </w:rPr>
        <w:t xml:space="preserve">第三部分  </w:t>
      </w:r>
      <w:r>
        <w:rPr>
          <w:rFonts w:hint="default" w:ascii="Times New Roman" w:hAnsi="Times New Roman" w:eastAsia="黑体" w:cs="Times New Roman"/>
          <w:color w:val="auto"/>
          <w:sz w:val="32"/>
          <w:szCs w:val="32"/>
          <w:lang w:val="en-US"/>
        </w:rPr>
        <w:t>202</w:t>
      </w:r>
      <w:r>
        <w:rPr>
          <w:rFonts w:hint="default" w:ascii="Times New Roman" w:hAnsi="Times New Roman" w:eastAsia="黑体" w:cs="Times New Roman"/>
          <w:color w:val="auto"/>
          <w:sz w:val="32"/>
          <w:szCs w:val="32"/>
          <w:lang w:val="en-US" w:eastAsia="zh-CN"/>
        </w:rPr>
        <w:t>5</w:t>
      </w:r>
      <w:r>
        <w:rPr>
          <w:rFonts w:hint="default" w:ascii="Times New Roman" w:hAnsi="Times New Roman" w:eastAsia="黑体" w:cs="Times New Roman"/>
          <w:color w:val="auto"/>
          <w:sz w:val="32"/>
          <w:szCs w:val="32"/>
        </w:rPr>
        <w:t>年度部门决算情况说明</w:t>
      </w:r>
      <w:r>
        <w:rPr>
          <w:rFonts w:hint="default" w:ascii="Times New Roman" w:hAnsi="Times New Roman" w:eastAsia="黑体" w:cs="Times New Roman"/>
          <w:color w:val="auto"/>
          <w:sz w:val="32"/>
          <w:szCs w:val="32"/>
        </w:rPr>
        <w:tab/>
      </w:r>
      <w:r>
        <w:rPr>
          <w:rFonts w:hint="default" w:ascii="Times New Roman" w:hAnsi="Times New Roman" w:eastAsia="黑体" w:cs="Times New Roman"/>
          <w:color w:val="auto"/>
          <w:sz w:val="32"/>
          <w:szCs w:val="32"/>
        </w:rPr>
        <w:fldChar w:fldCharType="end"/>
      </w:r>
      <w:r>
        <w:rPr>
          <w:rFonts w:hint="default" w:ascii="Times New Roman" w:hAnsi="Times New Roman" w:eastAsia="黑体" w:cs="Times New Roman"/>
          <w:color w:val="auto"/>
          <w:sz w:val="32"/>
          <w:szCs w:val="32"/>
        </w:rPr>
        <w:t>3</w:t>
      </w:r>
    </w:p>
    <w:p w14:paraId="726EBAF1">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_Toc21737_WPSOffice_Level2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一、收入支出总体情况说明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3</w:t>
      </w:r>
    </w:p>
    <w:p w14:paraId="4229B245">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二、收入决算情况说明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4</w:t>
      </w:r>
    </w:p>
    <w:p w14:paraId="3D61B802">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三、支出决算情况说明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4</w:t>
      </w:r>
    </w:p>
    <w:p w14:paraId="54486598">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四、财政拨款收入支出决算</w:t>
      </w:r>
      <w:r>
        <w:rPr>
          <w:rFonts w:hint="default" w:ascii="Times New Roman" w:hAnsi="Times New Roman" w:eastAsia="方正仿宋简体" w:cs="Times New Roman"/>
          <w:bCs/>
          <w:color w:val="auto"/>
          <w:sz w:val="32"/>
          <w:szCs w:val="32"/>
          <w:lang w:val="en-US" w:eastAsia="zh-CN"/>
        </w:rPr>
        <w:t>总体</w:t>
      </w:r>
      <w:r>
        <w:rPr>
          <w:rFonts w:hint="default" w:ascii="Times New Roman" w:hAnsi="Times New Roman" w:eastAsia="方正仿宋简体" w:cs="Times New Roman"/>
          <w:bCs/>
          <w:color w:val="auto"/>
          <w:sz w:val="32"/>
          <w:szCs w:val="32"/>
        </w:rPr>
        <w:t>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4</w:t>
      </w:r>
    </w:p>
    <w:p w14:paraId="17A24E29">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五、一般公共预算财政拨款支出决算情况说明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5</w:t>
      </w:r>
    </w:p>
    <w:p w14:paraId="57573A89">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六、一般公共预算财政拨款基本支出决算情况说明</w:t>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t>6</w:t>
      </w:r>
    </w:p>
    <w:p w14:paraId="3561775B">
      <w:pPr>
        <w:pStyle w:val="16"/>
        <w:keepNext w:val="0"/>
        <w:keepLines w:val="0"/>
        <w:pageBreakBefore w:val="0"/>
        <w:numPr>
          <w:ilvl w:val="0"/>
          <w:numId w:val="1"/>
        </w:numPr>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Cs/>
          <w:color w:val="auto"/>
          <w:sz w:val="32"/>
          <w:szCs w:val="32"/>
        </w:rPr>
        <w:t>政府性基金预算财政拨款支出决算情况说明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t>7</w:t>
      </w:r>
    </w:p>
    <w:p w14:paraId="26B1C701">
      <w:pPr>
        <w:pStyle w:val="16"/>
        <w:keepNext w:val="0"/>
        <w:keepLines w:val="0"/>
        <w:pageBreakBefore w:val="0"/>
        <w:numPr>
          <w:ilvl w:val="0"/>
          <w:numId w:val="1"/>
        </w:numPr>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Cs/>
          <w:color w:val="auto"/>
          <w:sz w:val="32"/>
          <w:szCs w:val="32"/>
        </w:rPr>
        <w:t>国有资本经营预算财政拨款支出决算情况说明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t>8</w:t>
      </w:r>
    </w:p>
    <w:p w14:paraId="196596CE">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九、财政拨款“三公”经费支出决算情况说明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9</w:t>
      </w:r>
    </w:p>
    <w:p w14:paraId="4FBC3D7C">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fldChar w:fldCharType="begin"/>
      </w:r>
      <w:r>
        <w:rPr>
          <w:rFonts w:hint="default" w:ascii="Times New Roman" w:hAnsi="Times New Roman" w:eastAsia="方正仿宋简体" w:cs="Times New Roman"/>
          <w:color w:val="auto"/>
          <w:sz w:val="32"/>
          <w:szCs w:val="32"/>
        </w:rPr>
        <w:instrText xml:space="preserve"> HYPERLINK \l _Toc19535_WPSOffice_Level2 </w:instrText>
      </w:r>
      <w:r>
        <w:rPr>
          <w:rFonts w:hint="default" w:ascii="Times New Roman" w:hAnsi="Times New Roman" w:eastAsia="方正仿宋简体" w:cs="Times New Roman"/>
          <w:color w:val="auto"/>
          <w:sz w:val="32"/>
          <w:szCs w:val="32"/>
        </w:rPr>
        <w:fldChar w:fldCharType="separate"/>
      </w:r>
      <w:r>
        <w:rPr>
          <w:rFonts w:hint="default" w:ascii="Times New Roman" w:hAnsi="Times New Roman" w:eastAsia="方正仿宋简体" w:cs="Times New Roman"/>
          <w:bCs/>
          <w:color w:val="auto"/>
          <w:sz w:val="32"/>
          <w:szCs w:val="32"/>
        </w:rPr>
        <w:t>十、预算绩效情况说明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fldChar w:fldCharType="end"/>
      </w:r>
      <w:r>
        <w:rPr>
          <w:rFonts w:hint="default" w:ascii="Times New Roman" w:hAnsi="Times New Roman" w:eastAsia="方正仿宋简体" w:cs="Times New Roman"/>
          <w:color w:val="auto"/>
          <w:sz w:val="32"/>
          <w:szCs w:val="32"/>
        </w:rPr>
        <w:t>11</w:t>
      </w:r>
    </w:p>
    <w:p w14:paraId="42398BF3">
      <w:pPr>
        <w:pStyle w:val="16"/>
        <w:keepNext w:val="0"/>
        <w:keepLines w:val="0"/>
        <w:pageBreakBefore w:val="0"/>
        <w:tabs>
          <w:tab w:val="right" w:leader="dot" w:pos="8306"/>
        </w:tabs>
        <w:kinsoku/>
        <w:wordWrap/>
        <w:overflowPunct/>
        <w:topLinePunct w:val="0"/>
        <w:autoSpaceDE/>
        <w:autoSpaceDN/>
        <w:bidi w:val="0"/>
        <w:adjustRightInd/>
        <w:snapToGrid/>
        <w:spacing w:line="576" w:lineRule="exact"/>
        <w:ind w:left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Cs/>
          <w:color w:val="auto"/>
          <w:sz w:val="32"/>
          <w:szCs w:val="32"/>
        </w:rPr>
        <w:t>十一、其他重要事项情况说明</w:t>
      </w:r>
      <w:r>
        <w:rPr>
          <w:rFonts w:hint="default" w:ascii="Times New Roman" w:hAnsi="Times New Roman" w:eastAsia="方正仿宋简体" w:cs="Times New Roman"/>
          <w:color w:val="auto"/>
          <w:sz w:val="32"/>
          <w:szCs w:val="32"/>
        </w:rPr>
        <w:tab/>
      </w:r>
      <w:r>
        <w:rPr>
          <w:rFonts w:hint="default" w:ascii="Times New Roman" w:hAnsi="Times New Roman" w:eastAsia="方正仿宋简体" w:cs="Times New Roman"/>
          <w:color w:val="auto"/>
          <w:sz w:val="32"/>
          <w:szCs w:val="32"/>
        </w:rPr>
        <w:t>13</w:t>
      </w:r>
    </w:p>
    <w:p w14:paraId="0E8D37DA">
      <w:pPr>
        <w:pStyle w:val="15"/>
        <w:keepNext w:val="0"/>
        <w:keepLines w:val="0"/>
        <w:pageBreakBefore w:val="0"/>
        <w:tabs>
          <w:tab w:val="right" w:leader="dot" w:pos="8306"/>
        </w:tabs>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b/>
          <w:color w:val="auto"/>
          <w:sz w:val="32"/>
          <w:szCs w:val="32"/>
        </w:rPr>
      </w:pPr>
      <w:r>
        <w:rPr>
          <w:rFonts w:hint="default" w:ascii="Times New Roman" w:hAnsi="Times New Roman" w:eastAsia="黑体" w:cs="Times New Roman"/>
          <w:color w:val="auto"/>
          <w:sz w:val="32"/>
          <w:szCs w:val="32"/>
        </w:rPr>
        <w:fldChar w:fldCharType="begin"/>
      </w:r>
      <w:r>
        <w:rPr>
          <w:rFonts w:hint="default" w:ascii="Times New Roman" w:hAnsi="Times New Roman" w:eastAsia="黑体" w:cs="Times New Roman"/>
          <w:color w:val="auto"/>
          <w:sz w:val="32"/>
          <w:szCs w:val="32"/>
        </w:rPr>
        <w:instrText xml:space="preserve"> HYPERLINK \l _Toc15425_WPSOffice_Level1 </w:instrText>
      </w:r>
      <w:r>
        <w:rPr>
          <w:rFonts w:hint="default" w:ascii="Times New Roman" w:hAnsi="Times New Roman" w:eastAsia="黑体" w:cs="Times New Roman"/>
          <w:color w:val="auto"/>
          <w:sz w:val="32"/>
          <w:szCs w:val="32"/>
        </w:rPr>
        <w:fldChar w:fldCharType="separate"/>
      </w:r>
      <w:r>
        <w:rPr>
          <w:rFonts w:hint="default" w:ascii="Times New Roman" w:hAnsi="Times New Roman" w:eastAsia="黑体" w:cs="Times New Roman"/>
          <w:color w:val="auto"/>
          <w:sz w:val="32"/>
          <w:szCs w:val="32"/>
        </w:rPr>
        <w:t>第四部分  名词解释</w:t>
      </w:r>
      <w:r>
        <w:rPr>
          <w:rFonts w:hint="default" w:ascii="Times New Roman" w:hAnsi="Times New Roman" w:eastAsia="黑体" w:cs="Times New Roman"/>
          <w:color w:val="auto"/>
          <w:sz w:val="32"/>
          <w:szCs w:val="32"/>
        </w:rPr>
        <w:tab/>
      </w:r>
      <w:bookmarkStart w:id="1" w:name="_Toc15425_WPSOffice_Level1Page"/>
      <w:r>
        <w:rPr>
          <w:rFonts w:hint="default" w:ascii="Times New Roman" w:hAnsi="Times New Roman" w:eastAsia="黑体" w:cs="Times New Roman"/>
          <w:color w:val="auto"/>
          <w:sz w:val="32"/>
          <w:szCs w:val="32"/>
        </w:rPr>
        <w:t>1</w:t>
      </w:r>
      <w:bookmarkEnd w:id="1"/>
      <w:r>
        <w:rPr>
          <w:rFonts w:hint="default" w:ascii="Times New Roman" w:hAnsi="Times New Roman" w:eastAsia="黑体" w:cs="Times New Roman"/>
          <w:color w:val="auto"/>
          <w:sz w:val="32"/>
          <w:szCs w:val="32"/>
        </w:rPr>
        <w:fldChar w:fldCharType="end"/>
      </w:r>
      <w:bookmarkEnd w:id="0"/>
      <w:r>
        <w:rPr>
          <w:rFonts w:hint="default" w:ascii="Times New Roman" w:hAnsi="Times New Roman" w:eastAsia="黑体" w:cs="Times New Roman"/>
          <w:color w:val="auto"/>
          <w:sz w:val="32"/>
          <w:szCs w:val="32"/>
        </w:rPr>
        <w:t>5</w:t>
      </w:r>
    </w:p>
    <w:p w14:paraId="217975D1">
      <w:pPr>
        <w:keepNext w:val="0"/>
        <w:keepLines w:val="0"/>
        <w:pageBreakBefore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仿宋简体" w:cs="Times New Roman"/>
          <w:color w:val="auto"/>
          <w:sz w:val="32"/>
          <w:szCs w:val="32"/>
        </w:rPr>
      </w:pPr>
      <w:bookmarkStart w:id="2" w:name="_Toc10049_WPSOffice_Level1"/>
      <w:bookmarkStart w:id="3" w:name="_Toc22941_WPSOffice_Level1"/>
      <w:bookmarkStart w:id="4" w:name="_Toc23465_WPSOffice_Level1"/>
      <w:bookmarkStart w:id="5" w:name="_Toc10720_WPSOffice_Level1"/>
      <w:bookmarkStart w:id="6" w:name="_Toc1704_WPSOffice_Level1"/>
      <w:bookmarkStart w:id="7" w:name="_Toc32433_WPSOffice_Level1"/>
      <w:bookmarkStart w:id="8" w:name="_Toc24238_WPSOffice_Level2"/>
      <w:bookmarkStart w:id="9" w:name="_Toc26580_WPSOffice_Level2"/>
      <w:bookmarkStart w:id="10" w:name="_Toc20274_WPSOffice_Level2"/>
      <w:bookmarkStart w:id="11" w:name="_Toc32622_WPSOffice_Level2"/>
      <w:bookmarkStart w:id="12" w:name="_Toc20205_WPSOffice_Level2"/>
      <w:bookmarkStart w:id="13" w:name="_Toc14159_WPSOffice_Level2"/>
    </w:p>
    <w:p w14:paraId="70BE368B">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32"/>
          <w:szCs w:val="32"/>
        </w:rPr>
      </w:pPr>
      <w:r>
        <w:rPr>
          <w:rFonts w:hint="default" w:ascii="Times New Roman" w:hAnsi="Times New Roman" w:eastAsia="方正小标宋简体" w:cs="Times New Roman"/>
          <w:color w:val="auto"/>
          <w:sz w:val="32"/>
          <w:szCs w:val="32"/>
        </w:rPr>
        <w:t xml:space="preserve">第一部分  </w:t>
      </w:r>
      <w:bookmarkEnd w:id="2"/>
      <w:bookmarkEnd w:id="3"/>
      <w:bookmarkEnd w:id="4"/>
      <w:bookmarkEnd w:id="5"/>
      <w:bookmarkEnd w:id="6"/>
      <w:bookmarkEnd w:id="7"/>
      <w:r>
        <w:rPr>
          <w:rFonts w:hint="default" w:ascii="Times New Roman" w:hAnsi="Times New Roman" w:eastAsia="方正小标宋简体" w:cs="Times New Roman"/>
          <w:color w:val="auto"/>
          <w:sz w:val="32"/>
          <w:szCs w:val="32"/>
        </w:rPr>
        <w:t>基本情况</w:t>
      </w:r>
    </w:p>
    <w:p w14:paraId="30FDAD7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rPr>
      </w:pPr>
    </w:p>
    <w:p w14:paraId="79578FBF">
      <w:pPr>
        <w:keepNext w:val="0"/>
        <w:keepLines w:val="0"/>
        <w:pageBreakBefore w:val="0"/>
        <w:numPr>
          <w:ilvl w:val="0"/>
          <w:numId w:val="2"/>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w:t>
      </w:r>
      <w:bookmarkEnd w:id="8"/>
      <w:r>
        <w:rPr>
          <w:rFonts w:hint="default" w:ascii="Times New Roman" w:hAnsi="Times New Roman" w:eastAsia="黑体" w:cs="Times New Roman"/>
          <w:color w:val="auto"/>
          <w:sz w:val="32"/>
          <w:szCs w:val="32"/>
        </w:rPr>
        <w:t>（单位）职责</w:t>
      </w:r>
      <w:bookmarkEnd w:id="9"/>
      <w:bookmarkEnd w:id="10"/>
      <w:bookmarkEnd w:id="11"/>
      <w:bookmarkEnd w:id="12"/>
      <w:bookmarkEnd w:id="13"/>
    </w:p>
    <w:p w14:paraId="664D3E6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rPr>
        <w:t>人民法院是国家的审判机关，依法独立行使审判权，主要职责是: 1</w:t>
      </w:r>
      <w:r>
        <w:rPr>
          <w:rFonts w:hint="eastAsia" w:eastAsia="方正仿宋简体" w:cs="Times New Roman"/>
          <w:color w:val="auto"/>
          <w:sz w:val="32"/>
          <w:szCs w:val="32"/>
          <w:lang w:val="en-US" w:eastAsia="zh-CN"/>
        </w:rPr>
        <w:t>.</w:t>
      </w:r>
      <w:r>
        <w:rPr>
          <w:rFonts w:hint="default" w:ascii="Times New Roman" w:hAnsi="Times New Roman" w:eastAsia="方正仿宋简体" w:cs="Times New Roman"/>
          <w:color w:val="auto"/>
          <w:sz w:val="32"/>
          <w:szCs w:val="32"/>
        </w:rPr>
        <w:t>依法审判符合级别管辖和地域管辖的第一审刑事、民事、经済、 行政案件 2</w:t>
      </w:r>
      <w:r>
        <w:rPr>
          <w:rFonts w:hint="eastAsia" w:eastAsia="方正仿宋简体" w:cs="Times New Roman"/>
          <w:color w:val="auto"/>
          <w:sz w:val="32"/>
          <w:szCs w:val="32"/>
          <w:lang w:val="en-US" w:eastAsia="zh-CN"/>
        </w:rPr>
        <w:t>.</w:t>
      </w:r>
      <w:r>
        <w:rPr>
          <w:rFonts w:hint="default" w:ascii="Times New Roman" w:hAnsi="Times New Roman" w:eastAsia="方正仿宋简体" w:cs="Times New Roman"/>
          <w:color w:val="auto"/>
          <w:sz w:val="32"/>
          <w:szCs w:val="32"/>
        </w:rPr>
        <w:t>依法受理符合级别管辖和地域管辖及委托的执行案件。 3</w:t>
      </w:r>
      <w:r>
        <w:rPr>
          <w:rFonts w:hint="eastAsia" w:eastAsia="方正仿宋简体" w:cs="Times New Roman"/>
          <w:color w:val="auto"/>
          <w:sz w:val="32"/>
          <w:szCs w:val="32"/>
          <w:lang w:val="en-US" w:eastAsia="zh-CN"/>
        </w:rPr>
        <w:t>.</w:t>
      </w:r>
      <w:r>
        <w:rPr>
          <w:rFonts w:hint="default" w:ascii="Times New Roman" w:hAnsi="Times New Roman" w:eastAsia="方正仿宋简体" w:cs="Times New Roman"/>
          <w:color w:val="auto"/>
          <w:sz w:val="32"/>
          <w:szCs w:val="32"/>
        </w:rPr>
        <w:t>受理不服本院已发生法律效力的判決、裁定等各类申诉，并依法 对其中确有错误的已发生法律效力的判決、裁定和调解进行再审</w:t>
      </w:r>
      <w:r>
        <w:rPr>
          <w:rFonts w:hint="default" w:ascii="Times New Roman" w:hAnsi="Times New Roman" w:eastAsia="方正仿宋简体" w:cs="Times New Roman"/>
          <w:color w:val="auto"/>
          <w:sz w:val="32"/>
          <w:szCs w:val="32"/>
          <w:lang w:eastAsia="zh-CN"/>
        </w:rPr>
        <w:t>。</w:t>
      </w:r>
    </w:p>
    <w:p w14:paraId="54428AD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color w:val="auto"/>
          <w:sz w:val="32"/>
          <w:szCs w:val="32"/>
        </w:rPr>
      </w:pPr>
      <w:bookmarkStart w:id="14" w:name="_Toc17796_WPSOffice_Level2"/>
      <w:bookmarkStart w:id="15" w:name="_Toc24059_WPSOffice_Level2"/>
      <w:bookmarkStart w:id="16" w:name="_Toc24474_WPSOffice_Level2"/>
      <w:bookmarkStart w:id="17" w:name="_Toc4833_WPSOffice_Level2"/>
      <w:bookmarkStart w:id="18" w:name="_Toc6572_WPSOffice_Level2"/>
      <w:r>
        <w:rPr>
          <w:rFonts w:hint="default" w:ascii="Times New Roman" w:hAnsi="Times New Roman" w:eastAsia="黑体" w:cs="Times New Roman"/>
          <w:color w:val="auto"/>
          <w:sz w:val="32"/>
          <w:szCs w:val="32"/>
        </w:rPr>
        <w:t>二、机构设置</w:t>
      </w:r>
      <w:bookmarkEnd w:id="14"/>
      <w:bookmarkEnd w:id="15"/>
      <w:bookmarkEnd w:id="16"/>
      <w:bookmarkEnd w:id="17"/>
      <w:bookmarkEnd w:id="18"/>
    </w:p>
    <w:p w14:paraId="3F6B808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rPr>
        <w:t>纳入</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年度部门决算编制范围的单位共</w:t>
      </w:r>
      <w:r>
        <w:rPr>
          <w:rFonts w:hint="default" w:ascii="Times New Roman" w:hAnsi="Times New Roman" w:eastAsia="方正仿宋简体" w:cs="Times New Roman"/>
          <w:color w:val="auto"/>
          <w:sz w:val="32"/>
          <w:szCs w:val="32"/>
          <w:lang w:val="en-US" w:eastAsia="zh-CN"/>
        </w:rPr>
        <w:t>1</w:t>
      </w:r>
      <w:r>
        <w:rPr>
          <w:rFonts w:hint="default" w:ascii="Times New Roman" w:hAnsi="Times New Roman" w:eastAsia="方正仿宋简体" w:cs="Times New Roman"/>
          <w:color w:val="auto"/>
          <w:sz w:val="32"/>
          <w:szCs w:val="32"/>
        </w:rPr>
        <w:t>个</w:t>
      </w:r>
      <w:r>
        <w:rPr>
          <w:rFonts w:hint="default" w:ascii="Times New Roman" w:hAnsi="Times New Roman" w:eastAsia="方正仿宋简体" w:cs="Times New Roman"/>
          <w:color w:val="auto"/>
          <w:sz w:val="32"/>
          <w:szCs w:val="32"/>
          <w:lang w:eastAsia="zh-CN"/>
        </w:rPr>
        <w:t>。</w:t>
      </w:r>
    </w:p>
    <w:p w14:paraId="5BB34B3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bookmarkStart w:id="19" w:name="_Toc24421_WPSOffice_Level2"/>
      <w:bookmarkStart w:id="20" w:name="_Toc25738_WPSOffice_Level2"/>
      <w:r>
        <w:rPr>
          <w:rFonts w:hint="default" w:ascii="Times New Roman" w:hAnsi="Times New Roman" w:eastAsia="方正楷体简体" w:cs="Times New Roman"/>
          <w:color w:val="auto"/>
          <w:sz w:val="32"/>
          <w:szCs w:val="32"/>
        </w:rPr>
        <w:t>（一）</w:t>
      </w:r>
      <w:r>
        <w:rPr>
          <w:rFonts w:hint="default" w:ascii="Times New Roman" w:hAnsi="Times New Roman" w:eastAsia="方正楷体简体" w:cs="Times New Roman"/>
          <w:color w:val="auto"/>
          <w:sz w:val="32"/>
          <w:szCs w:val="32"/>
          <w:lang w:val="en-US" w:eastAsia="zh-CN"/>
        </w:rPr>
        <w:t>聂荣县人民法院</w:t>
      </w:r>
      <w:r>
        <w:rPr>
          <w:rFonts w:hint="default" w:ascii="Times New Roman" w:hAnsi="Times New Roman" w:eastAsia="方正楷体简体" w:cs="Times New Roman"/>
          <w:color w:val="auto"/>
          <w:sz w:val="32"/>
          <w:szCs w:val="32"/>
        </w:rPr>
        <w:t>部门本级</w:t>
      </w:r>
      <w:bookmarkEnd w:id="19"/>
      <w:bookmarkEnd w:id="20"/>
    </w:p>
    <w:p w14:paraId="096DD1A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bookmarkStart w:id="21" w:name="_Toc6234_WPSOffice_Level1"/>
      <w:bookmarkStart w:id="22" w:name="_Toc28253_WPSOffice_Level1"/>
      <w:bookmarkStart w:id="23" w:name="_Toc30451_WPSOffice_Level1"/>
      <w:bookmarkStart w:id="24" w:name="_Toc8164_WPSOffice_Level1"/>
      <w:bookmarkStart w:id="25" w:name="_Toc15521_WPSOffice_Level1"/>
      <w:bookmarkStart w:id="26" w:name="_Toc30690_WPSOffice_Level1"/>
      <w:bookmarkStart w:id="27" w:name="_Toc32695_WPSOffice_Level2"/>
      <w:bookmarkStart w:id="28" w:name="_Toc32472_WPSOffice_Level2"/>
      <w:bookmarkStart w:id="29" w:name="_Toc4029_WPSOffice_Level2"/>
      <w:bookmarkStart w:id="30" w:name="_Toc6211_WPSOffice_Level2"/>
      <w:bookmarkStart w:id="31" w:name="_Toc11518_WPSOffice_Level2"/>
      <w:bookmarkStart w:id="32" w:name="_Toc8867_WPSOffice_Level2"/>
      <w:r>
        <w:rPr>
          <w:rFonts w:hint="default" w:ascii="Times New Roman" w:hAnsi="Times New Roman" w:eastAsia="方正仿宋简体" w:cs="Times New Roman"/>
          <w:color w:val="auto"/>
          <w:sz w:val="32"/>
          <w:szCs w:val="32"/>
          <w:lang w:val="en-US" w:eastAsia="zh-CN"/>
        </w:rPr>
        <w:t>部门内设机构4个，包括政治部（综合审判庭）、立案部（诉讼服务大厅）、综合审判庭、执行局（司法警察大队）。</w:t>
      </w:r>
    </w:p>
    <w:p w14:paraId="571498FB">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auto"/>
          <w:sz w:val="32"/>
          <w:szCs w:val="32"/>
        </w:rPr>
      </w:pPr>
      <w:r>
        <w:rPr>
          <w:rFonts w:hint="default" w:ascii="Times New Roman" w:hAnsi="Times New Roman" w:eastAsia="方正小标宋简体" w:cs="Times New Roman"/>
          <w:b w:val="0"/>
          <w:bCs w:val="0"/>
          <w:color w:val="auto"/>
          <w:sz w:val="32"/>
          <w:szCs w:val="32"/>
        </w:rPr>
        <w:t xml:space="preserve">第二部分  </w:t>
      </w:r>
      <w:r>
        <w:rPr>
          <w:rFonts w:hint="default" w:ascii="Times New Roman" w:hAnsi="Times New Roman" w:eastAsia="方正小标宋简体" w:cs="Times New Roman"/>
          <w:b w:val="0"/>
          <w:bCs w:val="0"/>
          <w:color w:val="auto"/>
          <w:sz w:val="32"/>
          <w:szCs w:val="32"/>
          <w:lang w:val="en-US"/>
        </w:rPr>
        <w:t>202</w:t>
      </w:r>
      <w:r>
        <w:rPr>
          <w:rFonts w:hint="default" w:ascii="Times New Roman" w:hAnsi="Times New Roman" w:eastAsia="方正小标宋简体" w:cs="Times New Roman"/>
          <w:b w:val="0"/>
          <w:bCs w:val="0"/>
          <w:color w:val="auto"/>
          <w:sz w:val="32"/>
          <w:szCs w:val="32"/>
          <w:lang w:val="en-US" w:eastAsia="zh-CN"/>
        </w:rPr>
        <w:t>5</w:t>
      </w:r>
      <w:r>
        <w:rPr>
          <w:rFonts w:hint="default" w:ascii="Times New Roman" w:hAnsi="Times New Roman" w:eastAsia="方正小标宋简体" w:cs="Times New Roman"/>
          <w:b w:val="0"/>
          <w:bCs w:val="0"/>
          <w:color w:val="auto"/>
          <w:sz w:val="32"/>
          <w:szCs w:val="32"/>
        </w:rPr>
        <w:t>年度部门决算公开报表</w:t>
      </w:r>
      <w:bookmarkEnd w:id="21"/>
      <w:bookmarkEnd w:id="22"/>
      <w:bookmarkEnd w:id="23"/>
      <w:bookmarkEnd w:id="24"/>
      <w:bookmarkEnd w:id="25"/>
      <w:bookmarkEnd w:id="26"/>
    </w:p>
    <w:p w14:paraId="5277A56E">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一、收入支出决算公开表</w:t>
      </w:r>
      <w:bookmarkEnd w:id="27"/>
      <w:bookmarkEnd w:id="28"/>
      <w:bookmarkEnd w:id="29"/>
      <w:bookmarkEnd w:id="30"/>
      <w:bookmarkEnd w:id="31"/>
      <w:bookmarkEnd w:id="32"/>
    </w:p>
    <w:p w14:paraId="78FFB072">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bookmarkStart w:id="33" w:name="_Toc26621_WPSOffice_Level2"/>
      <w:bookmarkStart w:id="34" w:name="_Toc28622_WPSOffice_Level2"/>
      <w:bookmarkStart w:id="35" w:name="_Toc30334_WPSOffice_Level2"/>
      <w:bookmarkStart w:id="36" w:name="_Toc23139_WPSOffice_Level2"/>
      <w:bookmarkStart w:id="37" w:name="_Toc25608_WPSOffice_Level2"/>
      <w:bookmarkStart w:id="38" w:name="_Toc14349_WPSOffice_Level2"/>
      <w:r>
        <w:rPr>
          <w:rFonts w:hint="default" w:ascii="Times New Roman" w:hAnsi="Times New Roman" w:eastAsia="方正仿宋简体" w:cs="Times New Roman"/>
          <w:color w:val="auto"/>
          <w:sz w:val="32"/>
          <w:szCs w:val="32"/>
        </w:rPr>
        <w:t>二、收入决算公开表</w:t>
      </w:r>
      <w:bookmarkEnd w:id="33"/>
      <w:bookmarkEnd w:id="34"/>
      <w:bookmarkEnd w:id="35"/>
      <w:bookmarkEnd w:id="36"/>
      <w:bookmarkEnd w:id="37"/>
      <w:bookmarkEnd w:id="38"/>
      <w:bookmarkStart w:id="39" w:name="_Toc5489_WPSOffice_Level2"/>
      <w:bookmarkStart w:id="40" w:name="_Toc3262_WPSOffice_Level2"/>
      <w:bookmarkStart w:id="41" w:name="_Toc13854_WPSOffice_Level2"/>
      <w:bookmarkStart w:id="42" w:name="_Toc17626_WPSOffice_Level2"/>
      <w:bookmarkStart w:id="43" w:name="_Toc14658_WPSOffice_Level2"/>
      <w:bookmarkStart w:id="44" w:name="_Toc17858_WPSOffice_Level2"/>
    </w:p>
    <w:p w14:paraId="55C9CD2C">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三、支出决算公开表</w:t>
      </w:r>
      <w:bookmarkEnd w:id="39"/>
      <w:bookmarkEnd w:id="40"/>
      <w:bookmarkEnd w:id="41"/>
      <w:bookmarkEnd w:id="42"/>
      <w:bookmarkEnd w:id="43"/>
      <w:bookmarkEnd w:id="44"/>
      <w:bookmarkStart w:id="45" w:name="_Toc23493_WPSOffice_Level2"/>
      <w:bookmarkStart w:id="46" w:name="_Toc4265_WPSOffice_Level2"/>
      <w:bookmarkStart w:id="47" w:name="_Toc13701_WPSOffice_Level2"/>
      <w:bookmarkStart w:id="48" w:name="_Toc23591_WPSOffice_Level2"/>
      <w:bookmarkStart w:id="49" w:name="_Toc21415_WPSOffice_Level2"/>
      <w:bookmarkStart w:id="50" w:name="_Toc7988_WPSOffice_Level2"/>
    </w:p>
    <w:p w14:paraId="47717E48">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四、财政拨款收入支出决算公开表</w:t>
      </w:r>
      <w:bookmarkEnd w:id="45"/>
      <w:bookmarkEnd w:id="46"/>
      <w:bookmarkEnd w:id="47"/>
      <w:bookmarkEnd w:id="48"/>
      <w:bookmarkEnd w:id="49"/>
      <w:bookmarkEnd w:id="50"/>
    </w:p>
    <w:p w14:paraId="283DE046">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bookmarkStart w:id="51" w:name="_Toc22783_WPSOffice_Level2"/>
      <w:bookmarkStart w:id="52" w:name="_Toc23829_WPSOffice_Level2"/>
      <w:bookmarkStart w:id="53" w:name="_Toc25166_WPSOffice_Level2"/>
      <w:bookmarkStart w:id="54" w:name="_Toc7879_WPSOffice_Level2"/>
      <w:bookmarkStart w:id="55" w:name="_Toc13516_WPSOffice_Level2"/>
      <w:bookmarkStart w:id="56" w:name="_Toc2158_WPSOffice_Level2"/>
      <w:r>
        <w:rPr>
          <w:rFonts w:hint="default" w:ascii="Times New Roman" w:hAnsi="Times New Roman" w:eastAsia="方正仿宋简体" w:cs="Times New Roman"/>
          <w:color w:val="auto"/>
          <w:sz w:val="32"/>
          <w:szCs w:val="32"/>
        </w:rPr>
        <w:t>五、一般公共预算财政拨款收入支出决算</w:t>
      </w:r>
      <w:bookmarkEnd w:id="51"/>
      <w:bookmarkEnd w:id="52"/>
      <w:bookmarkEnd w:id="53"/>
      <w:bookmarkEnd w:id="54"/>
      <w:r>
        <w:rPr>
          <w:rFonts w:hint="default" w:ascii="Times New Roman" w:hAnsi="Times New Roman" w:eastAsia="方正仿宋简体" w:cs="Times New Roman"/>
          <w:color w:val="auto"/>
          <w:sz w:val="32"/>
          <w:szCs w:val="32"/>
        </w:rPr>
        <w:t>公开表</w:t>
      </w:r>
      <w:bookmarkEnd w:id="55"/>
      <w:bookmarkEnd w:id="56"/>
      <w:bookmarkStart w:id="57" w:name="_Toc17283_WPSOffice_Level2"/>
      <w:bookmarkStart w:id="58" w:name="_Toc2632_WPSOffice_Level2"/>
      <w:bookmarkStart w:id="59" w:name="_Toc5343_WPSOffice_Level2"/>
      <w:bookmarkStart w:id="60" w:name="_Toc25362_WPSOffice_Level2"/>
      <w:bookmarkStart w:id="61" w:name="_Toc17833_WPSOffice_Level2"/>
      <w:bookmarkStart w:id="62" w:name="_Toc8373_WPSOffice_Level2"/>
    </w:p>
    <w:p w14:paraId="719698A9">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六、一般公共预算财政拨款基本支出决算</w:t>
      </w:r>
      <w:bookmarkEnd w:id="57"/>
      <w:bookmarkEnd w:id="58"/>
      <w:bookmarkEnd w:id="59"/>
      <w:bookmarkEnd w:id="60"/>
      <w:bookmarkEnd w:id="61"/>
      <w:bookmarkEnd w:id="62"/>
      <w:r>
        <w:rPr>
          <w:rFonts w:hint="default" w:ascii="Times New Roman" w:hAnsi="Times New Roman" w:eastAsia="方正仿宋简体" w:cs="Times New Roman"/>
          <w:color w:val="auto"/>
          <w:sz w:val="32"/>
          <w:szCs w:val="32"/>
        </w:rPr>
        <w:t>公开表</w:t>
      </w:r>
    </w:p>
    <w:p w14:paraId="593CD172">
      <w:pPr>
        <w:keepNext w:val="0"/>
        <w:keepLines w:val="0"/>
        <w:pageBreakBefore w:val="0"/>
        <w:kinsoku/>
        <w:wordWrap/>
        <w:overflowPunct/>
        <w:topLinePunct w:val="0"/>
        <w:autoSpaceDE/>
        <w:autoSpaceDN/>
        <w:bidi w:val="0"/>
        <w:adjustRightInd/>
        <w:snapToGrid/>
        <w:spacing w:line="576" w:lineRule="exact"/>
        <w:ind w:left="1118" w:leftChars="304" w:hanging="480" w:hangingChars="150"/>
        <w:textAlignment w:val="auto"/>
        <w:rPr>
          <w:rFonts w:hint="default" w:ascii="Times New Roman" w:hAnsi="Times New Roman" w:eastAsia="方正仿宋简体" w:cs="Times New Roman"/>
          <w:color w:val="auto"/>
          <w:sz w:val="32"/>
          <w:szCs w:val="32"/>
        </w:rPr>
      </w:pPr>
      <w:bookmarkStart w:id="63" w:name="_Toc1533_WPSOffice_Level2"/>
      <w:bookmarkStart w:id="64" w:name="_Toc6020_WPSOffice_Level2"/>
      <w:bookmarkStart w:id="65" w:name="_Toc13345_WPSOffice_Level2"/>
      <w:bookmarkStart w:id="66" w:name="_Toc11799_WPSOffice_Level2"/>
      <w:bookmarkStart w:id="67" w:name="_Toc21310_WPSOffice_Level2"/>
      <w:bookmarkStart w:id="68" w:name="_Toc5594_WPSOffice_Level2"/>
      <w:r>
        <w:rPr>
          <w:rFonts w:hint="default" w:ascii="Times New Roman" w:hAnsi="Times New Roman" w:eastAsia="方正仿宋简体" w:cs="Times New Roman"/>
          <w:color w:val="auto"/>
          <w:sz w:val="32"/>
          <w:szCs w:val="32"/>
        </w:rPr>
        <w:t>七、政府性基金预算财政拨款收入支出决算</w:t>
      </w:r>
      <w:bookmarkEnd w:id="63"/>
      <w:bookmarkEnd w:id="64"/>
      <w:bookmarkEnd w:id="65"/>
      <w:bookmarkEnd w:id="66"/>
      <w:bookmarkEnd w:id="67"/>
      <w:bookmarkEnd w:id="68"/>
      <w:r>
        <w:rPr>
          <w:rFonts w:hint="default" w:ascii="Times New Roman" w:hAnsi="Times New Roman" w:eastAsia="方正仿宋简体" w:cs="Times New Roman"/>
          <w:color w:val="auto"/>
          <w:sz w:val="32"/>
          <w:szCs w:val="32"/>
        </w:rPr>
        <w:t>公开表</w:t>
      </w:r>
    </w:p>
    <w:p w14:paraId="12C80938">
      <w:pPr>
        <w:keepNext w:val="0"/>
        <w:keepLines w:val="0"/>
        <w:pageBreakBefore w:val="0"/>
        <w:kinsoku/>
        <w:wordWrap/>
        <w:overflowPunct/>
        <w:topLinePunct w:val="0"/>
        <w:autoSpaceDE/>
        <w:autoSpaceDN/>
        <w:bidi w:val="0"/>
        <w:adjustRightInd/>
        <w:snapToGrid/>
        <w:spacing w:line="576" w:lineRule="exact"/>
        <w:ind w:left="1118" w:leftChars="304" w:hanging="480" w:hangingChars="15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八、国有资本经营预算财政拨款收入支出决算公开表</w:t>
      </w:r>
    </w:p>
    <w:p w14:paraId="47416ACD">
      <w:pPr>
        <w:keepNext w:val="0"/>
        <w:keepLines w:val="0"/>
        <w:pageBreakBefore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简体" w:cs="Times New Roman"/>
          <w:color w:val="auto"/>
          <w:sz w:val="32"/>
          <w:szCs w:val="32"/>
        </w:rPr>
      </w:pPr>
      <w:bookmarkStart w:id="69" w:name="_Toc19961_WPSOffice_Level2"/>
      <w:bookmarkStart w:id="70" w:name="_Toc9377_WPSOffice_Level2"/>
      <w:bookmarkStart w:id="71" w:name="_Toc1820_WPSOffice_Level2"/>
      <w:bookmarkStart w:id="72" w:name="_Toc29886_WPSOffice_Level2"/>
      <w:r>
        <w:rPr>
          <w:rFonts w:hint="default" w:ascii="Times New Roman" w:hAnsi="Times New Roman" w:eastAsia="方正仿宋简体" w:cs="Times New Roman"/>
          <w:color w:val="auto"/>
          <w:sz w:val="32"/>
          <w:szCs w:val="32"/>
        </w:rPr>
        <w:t>九、财政拨款“三公”经费支出决算</w:t>
      </w:r>
      <w:bookmarkEnd w:id="69"/>
      <w:bookmarkEnd w:id="70"/>
      <w:bookmarkEnd w:id="71"/>
      <w:bookmarkEnd w:id="72"/>
      <w:r>
        <w:rPr>
          <w:rFonts w:hint="default" w:ascii="Times New Roman" w:hAnsi="Times New Roman" w:eastAsia="方正仿宋简体" w:cs="Times New Roman"/>
          <w:color w:val="auto"/>
          <w:sz w:val="32"/>
          <w:szCs w:val="32"/>
        </w:rPr>
        <w:t>公开表</w:t>
      </w:r>
    </w:p>
    <w:p w14:paraId="2408F91D">
      <w:pPr>
        <w:keepNext w:val="0"/>
        <w:keepLines w:val="0"/>
        <w:pageBreakBefore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w w:val="100"/>
          <w:sz w:val="32"/>
          <w:szCs w:val="32"/>
        </w:rPr>
        <w:t xml:space="preserve">以上报表见附件1。   </w:t>
      </w:r>
    </w:p>
    <w:p w14:paraId="06E9CE06">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color w:val="auto"/>
          <w:sz w:val="32"/>
          <w:szCs w:val="32"/>
        </w:rPr>
      </w:pPr>
      <w:bookmarkStart w:id="73" w:name="_Toc28629_WPSOffice_Level1"/>
      <w:bookmarkStart w:id="74" w:name="_Toc16686_WPSOffice_Level1"/>
      <w:bookmarkStart w:id="75" w:name="_Toc27590_WPSOffice_Level1"/>
      <w:bookmarkStart w:id="76" w:name="_Toc31264_WPSOffice_Level1"/>
      <w:bookmarkStart w:id="77" w:name="_Toc4402_WPSOffice_Level1"/>
      <w:bookmarkStart w:id="78" w:name="_Toc29683_WPSOffice_Level1"/>
      <w:r>
        <w:rPr>
          <w:rFonts w:hint="default" w:ascii="Times New Roman" w:hAnsi="Times New Roman" w:eastAsia="方正小标宋简体" w:cs="Times New Roman"/>
          <w:b w:val="0"/>
          <w:bCs w:val="0"/>
          <w:color w:val="auto"/>
          <w:sz w:val="32"/>
          <w:szCs w:val="32"/>
        </w:rPr>
        <w:t xml:space="preserve">第三部分  </w:t>
      </w:r>
      <w:r>
        <w:rPr>
          <w:rFonts w:hint="default" w:ascii="Times New Roman" w:hAnsi="Times New Roman" w:eastAsia="方正小标宋简体" w:cs="Times New Roman"/>
          <w:b w:val="0"/>
          <w:bCs w:val="0"/>
          <w:color w:val="auto"/>
          <w:sz w:val="32"/>
          <w:szCs w:val="32"/>
          <w:lang w:val="en-US"/>
        </w:rPr>
        <w:t>202</w:t>
      </w:r>
      <w:r>
        <w:rPr>
          <w:rFonts w:hint="default" w:ascii="Times New Roman" w:hAnsi="Times New Roman" w:eastAsia="方正小标宋简体" w:cs="Times New Roman"/>
          <w:b w:val="0"/>
          <w:bCs w:val="0"/>
          <w:color w:val="auto"/>
          <w:sz w:val="32"/>
          <w:szCs w:val="32"/>
          <w:lang w:val="en-US" w:eastAsia="zh-CN"/>
        </w:rPr>
        <w:t>5</w:t>
      </w:r>
      <w:r>
        <w:rPr>
          <w:rFonts w:hint="default" w:ascii="Times New Roman" w:hAnsi="Times New Roman" w:eastAsia="方正小标宋简体" w:cs="Times New Roman"/>
          <w:b w:val="0"/>
          <w:bCs w:val="0"/>
          <w:color w:val="auto"/>
          <w:sz w:val="32"/>
          <w:szCs w:val="32"/>
        </w:rPr>
        <w:t>年度部门决算情况说明</w:t>
      </w:r>
      <w:bookmarkEnd w:id="73"/>
      <w:bookmarkEnd w:id="74"/>
      <w:bookmarkEnd w:id="75"/>
      <w:bookmarkEnd w:id="76"/>
      <w:bookmarkEnd w:id="77"/>
      <w:bookmarkEnd w:id="78"/>
    </w:p>
    <w:p w14:paraId="6B43679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黑体" w:cs="Times New Roman"/>
          <w:bCs/>
          <w:color w:val="auto"/>
          <w:sz w:val="32"/>
          <w:szCs w:val="32"/>
        </w:rPr>
        <w:t>一、收入支出总体情况说明</w:t>
      </w:r>
      <w:r>
        <w:rPr>
          <w:rFonts w:hint="default" w:ascii="Times New Roman" w:hAnsi="Times New Roman" w:eastAsia="黑体" w:cs="Times New Roman"/>
          <w:bCs/>
          <w:color w:val="auto"/>
          <w:sz w:val="32"/>
          <w:szCs w:val="32"/>
        </w:rPr>
        <w:br w:type="textWrapping"/>
      </w:r>
      <w:r>
        <w:rPr>
          <w:rFonts w:hint="default" w:ascii="Times New Roman" w:hAnsi="Times New Roman" w:eastAsia="方正仿宋简体" w:cs="Times New Roman"/>
          <w:color w:val="auto"/>
          <w:sz w:val="32"/>
          <w:szCs w:val="32"/>
        </w:rPr>
        <w:t xml:space="preserve">   </w:t>
      </w:r>
      <w:r>
        <w:rPr>
          <w:rFonts w:hint="default" w:ascii="Times New Roman" w:hAnsi="Times New Roman" w:eastAsia="方正仿宋简体" w:cs="Times New Roman"/>
          <w:color w:val="0000FF"/>
          <w:sz w:val="32"/>
          <w:szCs w:val="32"/>
        </w:rPr>
        <w:t xml:space="preserve"> </w:t>
      </w:r>
      <w:r>
        <w:rPr>
          <w:rFonts w:hint="default" w:ascii="Times New Roman" w:hAnsi="Times New Roman" w:eastAsia="方正仿宋简体" w:cs="Times New Roman"/>
          <w:color w:val="auto"/>
          <w:sz w:val="32"/>
          <w:szCs w:val="32"/>
        </w:rPr>
        <w:t xml:space="preserve"> </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年度收入总计</w:t>
      </w:r>
      <w:r>
        <w:rPr>
          <w:rFonts w:hint="default" w:ascii="Times New Roman" w:hAnsi="Times New Roman" w:eastAsia="方正仿宋简体" w:cs="Times New Roman"/>
          <w:color w:val="auto"/>
          <w:sz w:val="32"/>
          <w:szCs w:val="32"/>
          <w:lang w:val="en-US" w:eastAsia="zh-CN"/>
        </w:rPr>
        <w:t>1309</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万元，支出总计</w:t>
      </w:r>
      <w:r>
        <w:rPr>
          <w:rFonts w:hint="default" w:ascii="Times New Roman" w:hAnsi="Times New Roman" w:eastAsia="方正仿宋简体" w:cs="Times New Roman"/>
          <w:color w:val="auto"/>
          <w:sz w:val="32"/>
          <w:szCs w:val="32"/>
          <w:lang w:val="en-US" w:eastAsia="zh-CN"/>
        </w:rPr>
        <w:t>1294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67</w:t>
      </w:r>
      <w:r>
        <w:rPr>
          <w:rFonts w:hint="default" w:ascii="Times New Roman" w:hAnsi="Times New Roman" w:eastAsia="方正仿宋简体" w:cs="Times New Roman"/>
          <w:color w:val="auto"/>
          <w:sz w:val="32"/>
          <w:szCs w:val="32"/>
        </w:rPr>
        <w:t>万元，与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年度相比，收入、支出总计各增加</w:t>
      </w:r>
      <w:r>
        <w:rPr>
          <w:rFonts w:hint="default" w:ascii="Times New Roman" w:hAnsi="Times New Roman" w:eastAsia="方正仿宋简体" w:cs="Times New Roman"/>
          <w:color w:val="auto"/>
          <w:sz w:val="32"/>
          <w:szCs w:val="32"/>
          <w:lang w:val="en-US" w:eastAsia="zh-CN"/>
        </w:rPr>
        <w:t>170.43</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18.19</w:t>
      </w:r>
      <w:r>
        <w:rPr>
          <w:rFonts w:hint="default" w:ascii="Times New Roman" w:hAnsi="Times New Roman" w:eastAsia="方正仿宋简体" w:cs="Times New Roman"/>
          <w:color w:val="auto"/>
          <w:sz w:val="32"/>
          <w:szCs w:val="32"/>
        </w:rPr>
        <w:t>%。主要原因：政策性调整人员工资及各项保险基数财政安排的财政拨款收入</w:t>
      </w:r>
      <w:r>
        <w:rPr>
          <w:rFonts w:hint="default" w:ascii="Times New Roman" w:hAnsi="Times New Roman" w:eastAsia="方正仿宋简体" w:cs="Times New Roman"/>
          <w:color w:val="auto"/>
          <w:sz w:val="32"/>
          <w:szCs w:val="32"/>
          <w:lang w:eastAsia="zh-CN"/>
        </w:rPr>
        <w:t>。</w:t>
      </w:r>
    </w:p>
    <w:p w14:paraId="77B904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（一）收入总计主要构成</w:t>
      </w:r>
    </w:p>
    <w:p w14:paraId="0231CF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本年收入</w:t>
      </w:r>
      <w:r>
        <w:rPr>
          <w:rFonts w:hint="default" w:ascii="Times New Roman" w:hAnsi="Times New Roman" w:eastAsia="方正仿宋简体" w:cs="Times New Roman"/>
          <w:color w:val="auto"/>
          <w:sz w:val="32"/>
          <w:szCs w:val="32"/>
          <w:lang w:val="en-US" w:eastAsia="zh-CN"/>
        </w:rPr>
        <w:t>1309</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w:t>
      </w:r>
    </w:p>
    <w:p w14:paraId="0270FD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使用非财政拨款结余</w:t>
      </w:r>
      <w:r>
        <w:rPr>
          <w:rFonts w:hint="default" w:ascii="Times New Roman" w:hAnsi="Times New Roman" w:eastAsia="方正仿宋简体" w:cs="Times New Roman"/>
          <w:color w:val="auto"/>
          <w:sz w:val="32"/>
          <w:szCs w:val="32"/>
          <w:lang w:val="en-US" w:eastAsia="zh-CN"/>
        </w:rPr>
        <w:t>15</w:t>
      </w:r>
      <w:r>
        <w:rPr>
          <w:rFonts w:hint="default" w:ascii="Times New Roman" w:hAnsi="Times New Roman" w:eastAsia="方正仿宋简体" w:cs="Times New Roman"/>
          <w:color w:val="auto"/>
          <w:sz w:val="32"/>
          <w:szCs w:val="32"/>
          <w:lang w:val="en-US"/>
        </w:rPr>
        <w:t>.00</w:t>
      </w:r>
      <w:r>
        <w:rPr>
          <w:rFonts w:hint="default" w:ascii="Times New Roman" w:hAnsi="Times New Roman" w:eastAsia="方正仿宋简体" w:cs="Times New Roman"/>
          <w:color w:val="auto"/>
          <w:sz w:val="32"/>
          <w:szCs w:val="32"/>
        </w:rPr>
        <w:t>万元，较</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年度决算数</w:t>
      </w:r>
      <w:r>
        <w:rPr>
          <w:rFonts w:hint="default" w:ascii="Times New Roman" w:hAnsi="Times New Roman" w:eastAsia="方正仿宋简体" w:cs="Times New Roman"/>
          <w:color w:val="auto"/>
          <w:sz w:val="32"/>
          <w:szCs w:val="32"/>
          <w:lang w:val="en-US" w:eastAsia="zh-CN"/>
        </w:rPr>
        <w:t>减少29.57</w:t>
      </w:r>
      <w:r>
        <w:rPr>
          <w:rFonts w:hint="default" w:ascii="Times New Roman" w:hAnsi="Times New Roman" w:eastAsia="方正仿宋简体" w:cs="Times New Roman"/>
          <w:color w:val="auto"/>
          <w:sz w:val="32"/>
          <w:szCs w:val="32"/>
        </w:rPr>
        <w:t>万元，主要原因</w:t>
      </w:r>
      <w:r>
        <w:rPr>
          <w:rFonts w:hint="default" w:ascii="Times New Roman" w:hAnsi="Times New Roman" w:eastAsia="方正仿宋简体" w:cs="Times New Roman"/>
          <w:color w:val="auto"/>
          <w:sz w:val="32"/>
          <w:szCs w:val="32"/>
          <w:lang w:val="en-US" w:eastAsia="zh-CN"/>
        </w:rPr>
        <w:t>是本年度部分专项工作项目实施完成。</w:t>
      </w:r>
    </w:p>
    <w:p w14:paraId="238FBA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年初结转结余</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w:t>
      </w:r>
    </w:p>
    <w:p w14:paraId="2951261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lang w:eastAsia="zh-CN"/>
        </w:rPr>
      </w:pPr>
      <w:r>
        <w:rPr>
          <w:rFonts w:hint="default" w:ascii="Times New Roman" w:hAnsi="Times New Roman" w:eastAsia="方正楷体简体" w:cs="Times New Roman"/>
          <w:color w:val="auto"/>
          <w:sz w:val="32"/>
          <w:szCs w:val="32"/>
        </w:rPr>
        <w:t>（二）支出总计主要构成</w:t>
      </w:r>
    </w:p>
    <w:p w14:paraId="63A437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本年支出</w:t>
      </w:r>
      <w:r>
        <w:rPr>
          <w:rFonts w:hint="default" w:ascii="Times New Roman" w:hAnsi="Times New Roman" w:eastAsia="方正仿宋简体" w:cs="Times New Roman"/>
          <w:color w:val="auto"/>
          <w:sz w:val="32"/>
          <w:szCs w:val="32"/>
          <w:lang w:val="en-US" w:eastAsia="zh-CN"/>
        </w:rPr>
        <w:t>1294.39</w:t>
      </w:r>
      <w:r>
        <w:rPr>
          <w:rFonts w:hint="default" w:ascii="Times New Roman" w:hAnsi="Times New Roman" w:eastAsia="方正仿宋简体" w:cs="Times New Roman"/>
          <w:color w:val="auto"/>
          <w:sz w:val="32"/>
          <w:szCs w:val="32"/>
        </w:rPr>
        <w:t>万元。</w:t>
      </w:r>
    </w:p>
    <w:p w14:paraId="7ADAD4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结余分配</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万元。</w:t>
      </w:r>
    </w:p>
    <w:p w14:paraId="54AB55D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年末结转结余</w:t>
      </w:r>
      <w:r>
        <w:rPr>
          <w:rFonts w:hint="default" w:ascii="Times New Roman" w:hAnsi="Times New Roman" w:eastAsia="方正仿宋简体" w:cs="Times New Roman"/>
          <w:color w:val="auto"/>
          <w:sz w:val="32"/>
          <w:szCs w:val="32"/>
          <w:lang w:val="en-US" w:eastAsia="zh-CN"/>
        </w:rPr>
        <w:t>29.71</w:t>
      </w:r>
      <w:r>
        <w:rPr>
          <w:rFonts w:hint="default" w:ascii="Times New Roman" w:hAnsi="Times New Roman" w:eastAsia="方正仿宋简体" w:cs="Times New Roman"/>
          <w:color w:val="auto"/>
          <w:sz w:val="32"/>
          <w:szCs w:val="32"/>
        </w:rPr>
        <w:t>万元。</w:t>
      </w:r>
    </w:p>
    <w:p w14:paraId="3F3B2FF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xml:space="preserve">   （注：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年度相关决算数据可取自附件财决公开01、02</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lang w:val="en-US" w:eastAsia="zh-CN"/>
        </w:rPr>
        <w:t>03</w:t>
      </w:r>
      <w:r>
        <w:rPr>
          <w:rFonts w:hint="default" w:ascii="Times New Roman" w:hAnsi="Times New Roman" w:eastAsia="方正仿宋简体" w:cs="Times New Roman"/>
          <w:color w:val="auto"/>
          <w:sz w:val="32"/>
          <w:szCs w:val="32"/>
        </w:rPr>
        <w:t>表；</w:t>
      </w:r>
      <w:r>
        <w:rPr>
          <w:rFonts w:hint="default" w:ascii="Times New Roman" w:hAnsi="Times New Roman" w:eastAsia="方正仿宋简体" w:cs="Times New Roman"/>
          <w:color w:val="auto"/>
          <w:sz w:val="32"/>
          <w:szCs w:val="32"/>
          <w:lang w:val="en-US"/>
        </w:rPr>
        <w:t>20</w:t>
      </w:r>
      <w:r>
        <w:rPr>
          <w:rFonts w:hint="default" w:ascii="Times New Roman" w:hAnsi="Times New Roman" w:eastAsia="方正仿宋简体" w:cs="Times New Roman"/>
          <w:color w:val="auto"/>
          <w:sz w:val="32"/>
          <w:szCs w:val="32"/>
          <w:lang w:val="en-US" w:eastAsia="zh-CN"/>
        </w:rPr>
        <w:t>24</w:t>
      </w:r>
      <w:r>
        <w:rPr>
          <w:rFonts w:hint="default" w:ascii="Times New Roman" w:hAnsi="Times New Roman" w:eastAsia="方正仿宋简体" w:cs="Times New Roman"/>
          <w:color w:val="auto"/>
          <w:sz w:val="32"/>
          <w:szCs w:val="32"/>
        </w:rPr>
        <w:t>年度相关决算数据可取自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年度部门决算报表财决01表《收入支出决算总表》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5252178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黑体" w:cs="Times New Roman"/>
          <w:bCs/>
          <w:color w:val="auto"/>
          <w:sz w:val="32"/>
          <w:szCs w:val="32"/>
        </w:rPr>
        <w:t>二、收入决算情况说明</w:t>
      </w:r>
      <w:r>
        <w:rPr>
          <w:rFonts w:hint="default" w:ascii="Times New Roman" w:hAnsi="Times New Roman" w:eastAsia="黑体" w:cs="Times New Roman"/>
          <w:bCs/>
          <w:color w:val="auto"/>
          <w:sz w:val="32"/>
          <w:szCs w:val="32"/>
        </w:rPr>
        <w:br w:type="textWrapping"/>
      </w:r>
      <w:r>
        <w:rPr>
          <w:rFonts w:hint="default" w:ascii="Times New Roman" w:hAnsi="Times New Roman" w:eastAsia="方正仿宋简体" w:cs="Times New Roman"/>
          <w:color w:val="auto"/>
          <w:sz w:val="32"/>
          <w:szCs w:val="32"/>
        </w:rPr>
        <w:t xml:space="preserve">     本年收入</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309</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万元，其中：财政拨款收入</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98.85</w:t>
      </w:r>
      <w:r>
        <w:rPr>
          <w:rFonts w:hint="default" w:ascii="Times New Roman" w:hAnsi="Times New Roman" w:eastAsia="方正仿宋简体" w:cs="Times New Roman"/>
          <w:color w:val="auto"/>
          <w:sz w:val="32"/>
          <w:szCs w:val="32"/>
        </w:rPr>
        <w:t>%；上级补助收入</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%；事业收入</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%；经营收入</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%；附属单位上缴收入</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%；其他收入</w:t>
      </w:r>
      <w:r>
        <w:rPr>
          <w:rFonts w:hint="default" w:ascii="Times New Roman" w:hAnsi="Times New Roman" w:eastAsia="方正仿宋简体" w:cs="Times New Roman"/>
          <w:color w:val="auto"/>
          <w:sz w:val="32"/>
          <w:szCs w:val="32"/>
          <w:lang w:val="en-US" w:eastAsia="zh-CN"/>
        </w:rPr>
        <w:t>援藏15</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1.15</w:t>
      </w:r>
      <w:r>
        <w:rPr>
          <w:rFonts w:hint="default" w:ascii="Times New Roman" w:hAnsi="Times New Roman" w:eastAsia="方正仿宋简体" w:cs="Times New Roman"/>
          <w:color w:val="auto"/>
          <w:sz w:val="32"/>
          <w:szCs w:val="32"/>
        </w:rPr>
        <w:t>%。</w:t>
      </w:r>
    </w:p>
    <w:p w14:paraId="053B29A9">
      <w:pPr>
        <w:keepNext w:val="0"/>
        <w:keepLines w:val="0"/>
        <w:pageBreakBefore w:val="0"/>
        <w:widowControl w:val="0"/>
        <w:kinsoku/>
        <w:wordWrap/>
        <w:overflowPunct/>
        <w:topLinePunct w:val="0"/>
        <w:autoSpaceDE/>
        <w:autoSpaceDN/>
        <w:bidi w:val="0"/>
        <w:adjustRightInd/>
        <w:snapToGrid/>
        <w:spacing w:line="576" w:lineRule="exact"/>
        <w:ind w:left="412" w:leftChars="196"/>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xml:space="preserve">  （注：上述各项收入数可取自财决公开02表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04CDEB3E">
      <w:pPr>
        <w:keepNext w:val="0"/>
        <w:keepLines w:val="0"/>
        <w:pageBreakBefore w:val="0"/>
        <w:widowControl w:val="0"/>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三、支出决算情况说明</w:t>
      </w:r>
    </w:p>
    <w:p w14:paraId="5D4445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本年支出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67</w:t>
      </w:r>
      <w:r>
        <w:rPr>
          <w:rFonts w:hint="default" w:ascii="Times New Roman" w:hAnsi="Times New Roman" w:eastAsia="方正仿宋简体" w:cs="Times New Roman"/>
          <w:color w:val="auto"/>
          <w:sz w:val="32"/>
          <w:szCs w:val="32"/>
        </w:rPr>
        <w:t>万元，其中：基本支出</w:t>
      </w:r>
      <w:r>
        <w:rPr>
          <w:rFonts w:hint="default" w:ascii="Times New Roman" w:hAnsi="Times New Roman" w:eastAsia="方正仿宋简体" w:cs="Times New Roman"/>
          <w:color w:val="auto"/>
          <w:sz w:val="32"/>
          <w:szCs w:val="32"/>
          <w:lang w:val="en-US" w:eastAsia="zh-CN"/>
        </w:rPr>
        <w:t>878</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25</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67.83</w:t>
      </w:r>
      <w:r>
        <w:rPr>
          <w:rFonts w:hint="default" w:ascii="Times New Roman" w:hAnsi="Times New Roman" w:eastAsia="方正仿宋简体" w:cs="Times New Roman"/>
          <w:color w:val="auto"/>
          <w:sz w:val="32"/>
          <w:szCs w:val="32"/>
        </w:rPr>
        <w:t>%；项目支出</w:t>
      </w:r>
      <w:r>
        <w:rPr>
          <w:rFonts w:hint="default" w:ascii="Times New Roman" w:hAnsi="Times New Roman" w:eastAsia="方正仿宋简体" w:cs="Times New Roman"/>
          <w:color w:val="auto"/>
          <w:sz w:val="32"/>
          <w:szCs w:val="32"/>
          <w:lang w:val="en-US" w:eastAsia="zh-CN"/>
        </w:rPr>
        <w:t>416.42</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32.16</w:t>
      </w:r>
      <w:r>
        <w:rPr>
          <w:rFonts w:hint="default" w:ascii="Times New Roman" w:hAnsi="Times New Roman" w:eastAsia="方正仿宋简体" w:cs="Times New Roman"/>
          <w:color w:val="auto"/>
          <w:sz w:val="32"/>
          <w:szCs w:val="32"/>
        </w:rPr>
        <w:t>%；上缴上级支出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%；经营支出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%；对附属单位补助支出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w:t>
      </w:r>
    </w:p>
    <w:p w14:paraId="087775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（注：上述各项支出数可取自财决公开03表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14A2A8C1">
      <w:pPr>
        <w:keepNext w:val="0"/>
        <w:keepLines w:val="0"/>
        <w:pageBreakBefore w:val="0"/>
        <w:widowControl w:val="0"/>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四、财政拨款收入支出决算总体情况说明</w:t>
      </w:r>
    </w:p>
    <w:p w14:paraId="1FAFFA3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年度财政拨款收入</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309</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万元，支出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67</w:t>
      </w:r>
      <w:r>
        <w:rPr>
          <w:rFonts w:hint="default" w:ascii="Times New Roman" w:hAnsi="Times New Roman" w:eastAsia="方正仿宋简体" w:cs="Times New Roman"/>
          <w:color w:val="auto"/>
          <w:sz w:val="32"/>
          <w:szCs w:val="32"/>
        </w:rPr>
        <w:t>万元。与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年度相比，财政拨款收入增加</w:t>
      </w:r>
      <w:r>
        <w:rPr>
          <w:rFonts w:hint="default" w:ascii="Times New Roman" w:hAnsi="Times New Roman" w:eastAsia="方正仿宋简体" w:cs="Times New Roman"/>
          <w:color w:val="auto"/>
          <w:sz w:val="32"/>
          <w:szCs w:val="32"/>
          <w:lang w:val="en-US" w:eastAsia="zh-CN"/>
        </w:rPr>
        <w:t>170.43</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14.96</w:t>
      </w:r>
      <w:r>
        <w:rPr>
          <w:rFonts w:hint="default" w:ascii="Times New Roman" w:hAnsi="Times New Roman" w:eastAsia="方正仿宋简体" w:cs="Times New Roman"/>
          <w:color w:val="auto"/>
          <w:sz w:val="32"/>
          <w:szCs w:val="32"/>
        </w:rPr>
        <w:t>%，主要原因主要是因为是政策性调整人员工资及各项保险基数财政安排的财政拨款收入</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支出增加</w:t>
      </w:r>
      <w:r>
        <w:rPr>
          <w:rFonts w:hint="default" w:ascii="Times New Roman" w:hAnsi="Times New Roman" w:eastAsia="方正仿宋简体" w:cs="Times New Roman"/>
          <w:color w:val="auto"/>
          <w:sz w:val="32"/>
          <w:szCs w:val="32"/>
          <w:lang w:val="en-US" w:eastAsia="zh-CN"/>
        </w:rPr>
        <w:t>170.72</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15.18</w:t>
      </w:r>
      <w:r>
        <w:rPr>
          <w:rFonts w:hint="default" w:ascii="Times New Roman" w:hAnsi="Times New Roman" w:eastAsia="方正仿宋简体" w:cs="Times New Roman"/>
          <w:color w:val="auto"/>
          <w:sz w:val="32"/>
          <w:szCs w:val="32"/>
        </w:rPr>
        <w:t>%，主要原因：主要是因为是政策性调整人员工 资及各项保险基数财政安排的财政拨款收入。</w:t>
      </w:r>
    </w:p>
    <w:p w14:paraId="798D56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财政拨款年初结转结余</w:t>
      </w:r>
      <w:r>
        <w:rPr>
          <w:rFonts w:hint="default" w:ascii="Times New Roman" w:hAnsi="Times New Roman" w:eastAsia="方正仿宋简体" w:cs="Times New Roman"/>
          <w:color w:val="auto"/>
          <w:sz w:val="32"/>
          <w:szCs w:val="32"/>
          <w:lang w:val="en-US" w:eastAsia="zh-CN"/>
        </w:rPr>
        <w:t>15</w:t>
      </w:r>
      <w:r>
        <w:rPr>
          <w:rFonts w:hint="default" w:ascii="Times New Roman" w:hAnsi="Times New Roman" w:eastAsia="方正仿宋简体" w:cs="Times New Roman"/>
          <w:color w:val="auto"/>
          <w:sz w:val="32"/>
          <w:szCs w:val="32"/>
          <w:lang w:val="en-US"/>
        </w:rPr>
        <w:t>.00</w:t>
      </w:r>
      <w:r>
        <w:rPr>
          <w:rFonts w:hint="default" w:ascii="Times New Roman" w:hAnsi="Times New Roman" w:eastAsia="方正仿宋简体" w:cs="Times New Roman"/>
          <w:color w:val="auto"/>
          <w:sz w:val="32"/>
          <w:szCs w:val="32"/>
        </w:rPr>
        <w:t>万元。</w:t>
      </w:r>
    </w:p>
    <w:p w14:paraId="5BC82F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财政拨款年末结转结余</w:t>
      </w:r>
      <w:r>
        <w:rPr>
          <w:rFonts w:hint="default" w:ascii="Times New Roman" w:hAnsi="Times New Roman" w:eastAsia="方正仿宋简体" w:cs="Times New Roman"/>
          <w:color w:val="auto"/>
          <w:sz w:val="32"/>
          <w:szCs w:val="32"/>
          <w:lang w:val="en-US" w:eastAsia="zh-CN"/>
        </w:rPr>
        <w:t>29.71</w:t>
      </w:r>
      <w:r>
        <w:rPr>
          <w:rFonts w:hint="default" w:ascii="Times New Roman" w:hAnsi="Times New Roman" w:eastAsia="方正仿宋简体" w:cs="Times New Roman"/>
          <w:color w:val="auto"/>
          <w:sz w:val="32"/>
          <w:szCs w:val="32"/>
        </w:rPr>
        <w:t>万元。</w:t>
      </w:r>
    </w:p>
    <w:p w14:paraId="71FD8B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年度决算相关数据可取自财决公开0</w:t>
      </w:r>
      <w:r>
        <w:rPr>
          <w:rFonts w:hint="default" w:ascii="Times New Roman" w:hAnsi="Times New Roman" w:eastAsia="方正仿宋简体" w:cs="Times New Roman"/>
          <w:color w:val="auto"/>
          <w:sz w:val="32"/>
          <w:szCs w:val="32"/>
          <w:lang w:val="en-US" w:eastAsia="zh-CN"/>
        </w:rPr>
        <w:t>1</w:t>
      </w:r>
      <w:r>
        <w:rPr>
          <w:rFonts w:hint="default" w:ascii="Times New Roman" w:hAnsi="Times New Roman" w:eastAsia="方正仿宋简体" w:cs="Times New Roman"/>
          <w:color w:val="auto"/>
          <w:sz w:val="32"/>
          <w:szCs w:val="32"/>
        </w:rPr>
        <w:t>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年度决算相关数据可取自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年度部门决算报表财决01-1表《财政拨款收入支出决算总表》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151B0086">
      <w:pPr>
        <w:keepNext w:val="0"/>
        <w:keepLines w:val="0"/>
        <w:pageBreakBefore w:val="0"/>
        <w:widowControl w:val="0"/>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五、一般公共预算财政拨款支出决算情况说明</w:t>
      </w:r>
    </w:p>
    <w:p w14:paraId="06CFF1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bookmarkStart w:id="79" w:name="_Toc9989_WPSOffice_Level2"/>
      <w:bookmarkStart w:id="80" w:name="_Toc19665_WPSOffice_Level2"/>
      <w:bookmarkStart w:id="81" w:name="_Toc23005_WPSOffice_Level2"/>
      <w:bookmarkStart w:id="82" w:name="_Toc21737_WPSOffice_Level2"/>
      <w:bookmarkStart w:id="83" w:name="_Toc13694_WPSOffice_Level2"/>
      <w:bookmarkStart w:id="84" w:name="_Toc17398_WPSOffice_Level2"/>
      <w:r>
        <w:rPr>
          <w:rFonts w:hint="default" w:ascii="Times New Roman" w:hAnsi="Times New Roman" w:eastAsia="方正楷体简体" w:cs="Times New Roman"/>
          <w:color w:val="auto"/>
          <w:sz w:val="32"/>
          <w:szCs w:val="32"/>
        </w:rPr>
        <w:t>（一）一般公共预算财政拨款支出决算总体情况</w:t>
      </w:r>
      <w:bookmarkEnd w:id="79"/>
      <w:bookmarkEnd w:id="80"/>
      <w:bookmarkEnd w:id="81"/>
      <w:bookmarkEnd w:id="82"/>
      <w:bookmarkEnd w:id="83"/>
      <w:bookmarkEnd w:id="84"/>
    </w:p>
    <w:p w14:paraId="62E505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年度一般公共预算财政拨款支出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万元，占本年支出合计的</w:t>
      </w:r>
      <w:r>
        <w:rPr>
          <w:rFonts w:hint="default" w:ascii="Times New Roman" w:hAnsi="Times New Roman" w:eastAsia="方正仿宋简体" w:cs="Times New Roman"/>
          <w:color w:val="auto"/>
          <w:sz w:val="32"/>
          <w:szCs w:val="32"/>
          <w:lang w:val="en-US" w:eastAsia="zh-CN"/>
        </w:rPr>
        <w:t>99.97</w:t>
      </w:r>
      <w:r>
        <w:rPr>
          <w:rFonts w:hint="default" w:ascii="Times New Roman" w:hAnsi="Times New Roman" w:eastAsia="方正仿宋简体" w:cs="Times New Roman"/>
          <w:color w:val="auto"/>
          <w:sz w:val="32"/>
          <w:szCs w:val="32"/>
        </w:rPr>
        <w:t>%。与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年度相比，一般公共预算财政拨款支出增加</w:t>
      </w:r>
      <w:r>
        <w:rPr>
          <w:rFonts w:hint="default" w:ascii="Times New Roman" w:hAnsi="Times New Roman" w:eastAsia="方正仿宋简体" w:cs="Times New Roman"/>
          <w:color w:val="auto"/>
          <w:sz w:val="32"/>
          <w:szCs w:val="32"/>
          <w:lang w:val="en-US" w:eastAsia="zh-CN"/>
        </w:rPr>
        <w:t>170.43</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15.16</w:t>
      </w:r>
      <w:r>
        <w:rPr>
          <w:rFonts w:hint="default" w:ascii="Times New Roman" w:hAnsi="Times New Roman" w:eastAsia="方正仿宋简体" w:cs="Times New Roman"/>
          <w:color w:val="auto"/>
          <w:sz w:val="32"/>
          <w:szCs w:val="32"/>
        </w:rPr>
        <w:t>%，主要原因是主要是因为是政策性调整人员工资及各项保险基数财政安排的财政拨款收入。</w:t>
      </w:r>
    </w:p>
    <w:p w14:paraId="318D08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bookmarkStart w:id="85" w:name="_Toc23864_WPSOffice_Level2"/>
      <w:bookmarkStart w:id="86" w:name="_Toc2711_WPSOffice_Level2"/>
      <w:bookmarkStart w:id="87" w:name="_Toc27767_WPSOffice_Level2"/>
      <w:bookmarkStart w:id="88" w:name="_Toc19535_WPSOffice_Level2"/>
      <w:bookmarkStart w:id="89" w:name="_Toc18793_WPSOffice_Level2"/>
      <w:bookmarkStart w:id="90" w:name="_Toc19075_WPSOffice_Level2"/>
      <w:r>
        <w:rPr>
          <w:rFonts w:hint="default" w:ascii="Times New Roman" w:hAnsi="Times New Roman" w:eastAsia="方正楷体简体" w:cs="Times New Roman"/>
          <w:color w:val="auto"/>
          <w:sz w:val="32"/>
          <w:szCs w:val="32"/>
        </w:rPr>
        <w:t>（二）一般公共预算财政拨款支出决算结构情况</w:t>
      </w:r>
      <w:bookmarkEnd w:id="85"/>
      <w:bookmarkEnd w:id="86"/>
      <w:bookmarkEnd w:id="87"/>
      <w:bookmarkEnd w:id="88"/>
      <w:bookmarkEnd w:id="89"/>
      <w:bookmarkEnd w:id="90"/>
    </w:p>
    <w:p w14:paraId="31182E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年度一般公共预算财政拨款支出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万元，主要用于以下方面：</w:t>
      </w:r>
      <w:r>
        <w:rPr>
          <w:rFonts w:hint="default" w:ascii="Times New Roman" w:hAnsi="Times New Roman" w:eastAsia="方正仿宋简体" w:cs="Times New Roman"/>
          <w:b/>
          <w:color w:val="auto"/>
          <w:sz w:val="32"/>
          <w:szCs w:val="32"/>
        </w:rPr>
        <w:t>一般公共服务（类）</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115</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09</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86.15</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b/>
          <w:color w:val="auto"/>
          <w:sz w:val="32"/>
          <w:szCs w:val="32"/>
        </w:rPr>
        <w:t>社会保障和就业（类）</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eastAsia="zh-CN"/>
        </w:rPr>
        <w:t>65.03</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5.02</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b/>
          <w:bCs/>
          <w:color w:val="auto"/>
          <w:sz w:val="32"/>
          <w:szCs w:val="32"/>
        </w:rPr>
        <w:t>住房保障（类）</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eastAsia="zh-CN"/>
        </w:rPr>
        <w:t>49.47</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3.83</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b/>
          <w:bCs/>
          <w:color w:val="auto"/>
          <w:sz w:val="32"/>
          <w:szCs w:val="32"/>
          <w:lang w:val="en-US" w:eastAsia="zh-CN"/>
        </w:rPr>
        <w:t>卫生健康支出（类）</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eastAsia="zh-CN"/>
        </w:rPr>
        <w:t>45.88</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3.55</w:t>
      </w:r>
      <w:r>
        <w:rPr>
          <w:rFonts w:hint="default" w:ascii="Times New Roman" w:hAnsi="Times New Roman" w:eastAsia="方正仿宋简体" w:cs="Times New Roman"/>
          <w:color w:val="auto"/>
          <w:sz w:val="32"/>
          <w:szCs w:val="32"/>
        </w:rPr>
        <w:t>%；（注：根据各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单位实际支出涉及的支出功能分类类级科目填列</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6CBA95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bookmarkStart w:id="91" w:name="_Toc29364_WPSOffice_Level2"/>
      <w:bookmarkStart w:id="92" w:name="_Toc21701_WPSOffice_Level2"/>
      <w:bookmarkStart w:id="93" w:name="_Toc15415_WPSOffice_Level2"/>
      <w:bookmarkStart w:id="94" w:name="_Toc22318_WPSOffice_Level2"/>
      <w:bookmarkStart w:id="95" w:name="_Toc9502_WPSOffice_Level2"/>
      <w:bookmarkStart w:id="96" w:name="_Toc25136_WPSOffice_Level2"/>
      <w:r>
        <w:rPr>
          <w:rFonts w:hint="default" w:ascii="Times New Roman" w:hAnsi="Times New Roman" w:eastAsia="方正楷体简体" w:cs="Times New Roman"/>
          <w:color w:val="auto"/>
          <w:sz w:val="32"/>
          <w:szCs w:val="32"/>
        </w:rPr>
        <w:t>（三）一般公共预算财政拨款支出决算具体情况</w:t>
      </w:r>
      <w:bookmarkEnd w:id="91"/>
      <w:bookmarkEnd w:id="92"/>
      <w:bookmarkEnd w:id="93"/>
      <w:bookmarkEnd w:id="94"/>
      <w:bookmarkEnd w:id="95"/>
      <w:bookmarkEnd w:id="96"/>
    </w:p>
    <w:p w14:paraId="4BD22BE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年度一般公共预算财政拨款支出年初预算为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294</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38</w:t>
      </w:r>
      <w:r>
        <w:rPr>
          <w:rFonts w:hint="default" w:ascii="Times New Roman" w:hAnsi="Times New Roman" w:eastAsia="方正仿宋简体" w:cs="Times New Roman"/>
          <w:color w:val="auto"/>
          <w:sz w:val="32"/>
          <w:szCs w:val="32"/>
        </w:rPr>
        <w:t>万元，完成年初预算的</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%。其中：</w:t>
      </w:r>
    </w:p>
    <w:p w14:paraId="350066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color w:val="auto"/>
          <w:sz w:val="32"/>
          <w:szCs w:val="32"/>
        </w:rPr>
        <w:t>1.</w:t>
      </w:r>
      <w:r>
        <w:rPr>
          <w:rFonts w:hint="default" w:ascii="Times New Roman" w:hAnsi="Times New Roman" w:eastAsia="方正仿宋简体" w:cs="Times New Roman"/>
          <w:b/>
          <w:color w:val="auto"/>
          <w:sz w:val="32"/>
          <w:szCs w:val="32"/>
        </w:rPr>
        <w:t>一般公共服务（类）人大事务（款）行政运行（项）。</w:t>
      </w:r>
    </w:p>
    <w:p w14:paraId="6DF975DC">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年初预算为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115</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09</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rPr>
        <w:t>1,</w:t>
      </w:r>
      <w:r>
        <w:rPr>
          <w:rFonts w:hint="default" w:ascii="Times New Roman" w:hAnsi="Times New Roman" w:eastAsia="方正仿宋简体" w:cs="Times New Roman"/>
          <w:color w:val="auto"/>
          <w:sz w:val="32"/>
          <w:szCs w:val="32"/>
          <w:lang w:val="en-US" w:eastAsia="zh-CN"/>
        </w:rPr>
        <w:t>115</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09</w:t>
      </w:r>
      <w:r>
        <w:rPr>
          <w:rFonts w:hint="default" w:ascii="Times New Roman" w:hAnsi="Times New Roman" w:eastAsia="方正仿宋简体" w:cs="Times New Roman"/>
          <w:color w:val="auto"/>
          <w:sz w:val="32"/>
          <w:szCs w:val="32"/>
        </w:rPr>
        <w:t>万元，完成年初预算的</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 xml:space="preserve">%。   </w:t>
      </w:r>
    </w:p>
    <w:p w14:paraId="7FD665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color w:val="auto"/>
          <w:sz w:val="32"/>
          <w:szCs w:val="32"/>
        </w:rPr>
        <w:t>2.</w:t>
      </w:r>
      <w:r>
        <w:rPr>
          <w:rFonts w:hint="default" w:ascii="Times New Roman" w:hAnsi="Times New Roman" w:eastAsia="方正仿宋简体" w:cs="Times New Roman"/>
          <w:b/>
          <w:color w:val="auto"/>
          <w:sz w:val="32"/>
          <w:szCs w:val="32"/>
        </w:rPr>
        <w:t>社会保障和就业（类）</w:t>
      </w:r>
    </w:p>
    <w:p w14:paraId="654AE976">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年初预算为</w:t>
      </w:r>
      <w:r>
        <w:rPr>
          <w:rFonts w:hint="default" w:ascii="Times New Roman" w:hAnsi="Times New Roman" w:eastAsia="方正仿宋简体" w:cs="Times New Roman"/>
          <w:color w:val="auto"/>
          <w:sz w:val="32"/>
          <w:szCs w:val="32"/>
          <w:lang w:val="en-US" w:eastAsia="zh-CN"/>
        </w:rPr>
        <w:t>65.03</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eastAsia="zh-CN"/>
        </w:rPr>
        <w:t>65.03</w:t>
      </w:r>
      <w:r>
        <w:rPr>
          <w:rFonts w:hint="default" w:ascii="Times New Roman" w:hAnsi="Times New Roman" w:eastAsia="方正仿宋简体" w:cs="Times New Roman"/>
          <w:color w:val="auto"/>
          <w:sz w:val="32"/>
          <w:szCs w:val="32"/>
        </w:rPr>
        <w:t>万元，完成年初预算的</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w:t>
      </w:r>
    </w:p>
    <w:p w14:paraId="3E829FC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val="0"/>
          <w:bCs w:val="0"/>
          <w:color w:val="auto"/>
          <w:sz w:val="32"/>
          <w:szCs w:val="32"/>
          <w:lang w:val="en-US" w:eastAsia="zh-CN"/>
        </w:rPr>
        <w:t>3.</w:t>
      </w:r>
      <w:r>
        <w:rPr>
          <w:rFonts w:hint="default" w:ascii="Times New Roman" w:hAnsi="Times New Roman" w:eastAsia="方正仿宋简体" w:cs="Times New Roman"/>
          <w:b/>
          <w:bCs/>
          <w:color w:val="auto"/>
          <w:sz w:val="32"/>
          <w:szCs w:val="32"/>
        </w:rPr>
        <w:t>住房保障（类）</w:t>
      </w:r>
    </w:p>
    <w:p w14:paraId="10F6A24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年初预算为</w:t>
      </w:r>
      <w:r>
        <w:rPr>
          <w:rFonts w:hint="default" w:ascii="Times New Roman" w:hAnsi="Times New Roman" w:eastAsia="方正仿宋简体" w:cs="Times New Roman"/>
          <w:color w:val="auto"/>
          <w:sz w:val="32"/>
          <w:szCs w:val="32"/>
          <w:lang w:val="en-US" w:eastAsia="zh-CN"/>
        </w:rPr>
        <w:t>49.47</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eastAsia="zh-CN"/>
        </w:rPr>
        <w:t>49.47</w:t>
      </w:r>
      <w:r>
        <w:rPr>
          <w:rFonts w:hint="default" w:ascii="Times New Roman" w:hAnsi="Times New Roman" w:eastAsia="方正仿宋简体" w:cs="Times New Roman"/>
          <w:color w:val="auto"/>
          <w:sz w:val="32"/>
          <w:szCs w:val="32"/>
        </w:rPr>
        <w:t>万元，完成年初预算的</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w:t>
      </w:r>
    </w:p>
    <w:p w14:paraId="1B03BB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4.</w:t>
      </w:r>
      <w:r>
        <w:rPr>
          <w:rFonts w:hint="default" w:ascii="Times New Roman" w:hAnsi="Times New Roman" w:eastAsia="方正仿宋简体" w:cs="Times New Roman"/>
          <w:b/>
          <w:bCs/>
          <w:color w:val="auto"/>
          <w:sz w:val="32"/>
          <w:szCs w:val="32"/>
          <w:lang w:val="en-US" w:eastAsia="zh-CN"/>
        </w:rPr>
        <w:t>卫生健康支出（类）</w:t>
      </w:r>
    </w:p>
    <w:p w14:paraId="4B7986A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年初预算为</w:t>
      </w:r>
      <w:r>
        <w:rPr>
          <w:rFonts w:hint="default" w:ascii="Times New Roman" w:hAnsi="Times New Roman" w:eastAsia="方正仿宋简体" w:cs="Times New Roman"/>
          <w:color w:val="auto"/>
          <w:sz w:val="32"/>
          <w:szCs w:val="32"/>
          <w:lang w:val="en-US" w:eastAsia="zh-CN"/>
        </w:rPr>
        <w:t>45.88</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eastAsia="zh-CN"/>
        </w:rPr>
        <w:t>45.88</w:t>
      </w:r>
      <w:r>
        <w:rPr>
          <w:rFonts w:hint="default" w:ascii="Times New Roman" w:hAnsi="Times New Roman" w:eastAsia="方正仿宋简体" w:cs="Times New Roman"/>
          <w:color w:val="auto"/>
          <w:sz w:val="32"/>
          <w:szCs w:val="32"/>
        </w:rPr>
        <w:t>万元，完成年初预算的</w:t>
      </w:r>
      <w:r>
        <w:rPr>
          <w:rFonts w:hint="default" w:ascii="Times New Roman" w:hAnsi="Times New Roman" w:eastAsia="方正仿宋简体" w:cs="Times New Roman"/>
          <w:color w:val="auto"/>
          <w:sz w:val="32"/>
          <w:szCs w:val="32"/>
          <w:lang w:val="en-US" w:eastAsia="zh-CN"/>
        </w:rPr>
        <w:t xml:space="preserve">100 </w:t>
      </w:r>
      <w:r>
        <w:rPr>
          <w:rFonts w:hint="default" w:ascii="Times New Roman" w:hAnsi="Times New Roman" w:eastAsia="方正仿宋简体" w:cs="Times New Roman"/>
          <w:color w:val="auto"/>
          <w:sz w:val="32"/>
          <w:szCs w:val="32"/>
        </w:rPr>
        <w:t>%。</w:t>
      </w:r>
    </w:p>
    <w:p w14:paraId="1235BE6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（注：本部分支出决算数可取自财决公开05表，年初预算数可取自各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单位年初预算大本，根据实际支出涉及的支出功能分类项级科目填列）</w:t>
      </w:r>
      <w:r>
        <w:rPr>
          <w:rFonts w:hint="default" w:ascii="Times New Roman" w:hAnsi="Times New Roman" w:eastAsia="方正仿宋简体" w:cs="Times New Roman"/>
          <w:color w:val="auto"/>
          <w:sz w:val="32"/>
          <w:szCs w:val="32"/>
          <w:lang w:eastAsia="zh-CN"/>
        </w:rPr>
        <w:t>。</w:t>
      </w:r>
    </w:p>
    <w:p w14:paraId="12B95764">
      <w:pPr>
        <w:keepNext w:val="0"/>
        <w:keepLines w:val="0"/>
        <w:pageBreakBefore w:val="0"/>
        <w:widowControl w:val="0"/>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六、一般公共预算财政拨款基本支出决算情况说明</w:t>
      </w:r>
    </w:p>
    <w:p w14:paraId="32008649">
      <w:pPr>
        <w:keepNext w:val="0"/>
        <w:keepLines w:val="0"/>
        <w:pageBreakBefore w:val="0"/>
        <w:widowControl w:val="0"/>
        <w:tabs>
          <w:tab w:val="center" w:pos="4473"/>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年度财政拨款基本支出</w:t>
      </w:r>
      <w:r>
        <w:rPr>
          <w:rFonts w:hint="default" w:ascii="Times New Roman" w:hAnsi="Times New Roman" w:eastAsia="方正仿宋简体" w:cs="Times New Roman"/>
          <w:color w:val="auto"/>
          <w:sz w:val="32"/>
          <w:szCs w:val="32"/>
          <w:lang w:val="en-US" w:eastAsia="zh-CN"/>
        </w:rPr>
        <w:t>826.75</w:t>
      </w:r>
      <w:r>
        <w:rPr>
          <w:rFonts w:hint="default" w:ascii="Times New Roman" w:hAnsi="Times New Roman" w:eastAsia="方正仿宋简体" w:cs="Times New Roman"/>
          <w:color w:val="auto"/>
          <w:sz w:val="32"/>
          <w:szCs w:val="32"/>
        </w:rPr>
        <w:t>万元，其中：人员经费</w:t>
      </w:r>
      <w:r>
        <w:rPr>
          <w:rFonts w:hint="default" w:ascii="Times New Roman" w:hAnsi="Times New Roman" w:eastAsia="方正仿宋简体" w:cs="Times New Roman"/>
          <w:color w:val="auto"/>
          <w:sz w:val="32"/>
          <w:szCs w:val="32"/>
          <w:lang w:val="en-US" w:eastAsia="zh-CN"/>
        </w:rPr>
        <w:t>812.95</w:t>
      </w:r>
      <w:r>
        <w:rPr>
          <w:rFonts w:hint="default" w:ascii="Times New Roman" w:hAnsi="Times New Roman" w:eastAsia="方正仿宋简体" w:cs="Times New Roman"/>
          <w:color w:val="auto"/>
          <w:sz w:val="32"/>
          <w:szCs w:val="32"/>
        </w:rPr>
        <w:t>万元，主要包括：工资福利支出中的基本工资、津贴补贴、奖金、伙食补助费、机关事业单位基本养老保险缴费、职工基本医疗保险缴费、公务员医疗补助缴费、其他社会保障缴费、住房公积金、医疗费、其他工资福利支出；对个人和家庭的补助中的离休费。公用经费</w:t>
      </w:r>
      <w:r>
        <w:rPr>
          <w:rFonts w:hint="default" w:ascii="Times New Roman" w:hAnsi="Times New Roman" w:eastAsia="方正仿宋简体" w:cs="Times New Roman"/>
          <w:color w:val="auto"/>
          <w:sz w:val="32"/>
          <w:szCs w:val="32"/>
          <w:lang w:val="en-US" w:eastAsia="zh-CN"/>
        </w:rPr>
        <w:t>51</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50</w:t>
      </w:r>
      <w:r>
        <w:rPr>
          <w:rFonts w:hint="default" w:ascii="Times New Roman" w:hAnsi="Times New Roman" w:eastAsia="方正仿宋简体" w:cs="Times New Roman"/>
          <w:color w:val="auto"/>
          <w:sz w:val="32"/>
          <w:szCs w:val="32"/>
        </w:rPr>
        <w:t>万元，主要包括：商品和服务支出中的办公费、印刷费、取暖费、差旅费、维修（护）费、租赁费、公务接待费、委托业务费、工会经费、公务用车运行维护费</w:t>
      </w:r>
      <w:r>
        <w:rPr>
          <w:rFonts w:hint="default" w:ascii="Times New Roman" w:hAnsi="Times New Roman" w:eastAsia="方正仿宋简体" w:cs="Times New Roman"/>
          <w:color w:val="auto"/>
          <w:sz w:val="32"/>
          <w:szCs w:val="32"/>
          <w:lang w:val="en-US" w:eastAsia="zh-CN"/>
        </w:rPr>
        <w:t>;</w:t>
      </w:r>
      <w:r>
        <w:rPr>
          <w:rFonts w:hint="default" w:ascii="Times New Roman" w:hAnsi="Times New Roman" w:eastAsia="方正仿宋简体" w:cs="Times New Roman"/>
          <w:color w:val="auto"/>
          <w:sz w:val="32"/>
          <w:szCs w:val="32"/>
        </w:rPr>
        <w:t>其他商品和服务支出。</w:t>
      </w:r>
    </w:p>
    <w:p w14:paraId="20B2D6B6">
      <w:pPr>
        <w:keepNext w:val="0"/>
        <w:keepLines w:val="0"/>
        <w:pageBreakBefore w:val="0"/>
        <w:widowControl w:val="0"/>
        <w:tabs>
          <w:tab w:val="center" w:pos="4473"/>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（注：上述</w:t>
      </w:r>
      <w:r>
        <w:rPr>
          <w:rFonts w:hint="default" w:ascii="Times New Roman" w:hAnsi="Times New Roman" w:eastAsia="方正仿宋简体" w:cs="Times New Roman"/>
          <w:color w:val="auto"/>
          <w:sz w:val="32"/>
          <w:szCs w:val="32"/>
          <w:lang w:val="en-US" w:eastAsia="zh-CN"/>
        </w:rPr>
        <w:t>数据</w:t>
      </w:r>
      <w:r>
        <w:rPr>
          <w:rFonts w:hint="default" w:ascii="Times New Roman" w:hAnsi="Times New Roman" w:eastAsia="方正仿宋简体" w:cs="Times New Roman"/>
          <w:color w:val="auto"/>
          <w:sz w:val="32"/>
          <w:szCs w:val="32"/>
        </w:rPr>
        <w:t>可取自财决公开06表，各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单位根据实际支出情况，选列相应支出经济分类。）</w:t>
      </w:r>
    </w:p>
    <w:p w14:paraId="0D29F59F">
      <w:pPr>
        <w:keepNext w:val="0"/>
        <w:keepLines w:val="0"/>
        <w:pageBreakBefore w:val="0"/>
        <w:widowControl w:val="0"/>
        <w:tabs>
          <w:tab w:val="center" w:pos="4473"/>
        </w:tabs>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七、政府性基金预算财政拨款支出决算情况说明</w:t>
      </w:r>
    </w:p>
    <w:p w14:paraId="7881B2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（一）政府性基金预算财政拨款支出决算总体情况</w:t>
      </w:r>
    </w:p>
    <w:p w14:paraId="56D608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年度政府性基金预算财政拨款支出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万元，占本年支出合计的</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年度相比，政府性基金预算财政拨款支出增加（减少）</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万元，增长（下降）</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w:t>
      </w:r>
    </w:p>
    <w:p w14:paraId="725722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（二）政府性基金预算财政拨款支出决算结构情况</w:t>
      </w:r>
    </w:p>
    <w:p w14:paraId="062EDCF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年度政府性基金预算财政拨款支出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w:t>
      </w:r>
    </w:p>
    <w:p w14:paraId="6E1C2B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（注：根据各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单位实际支出涉及的支出功能分类类级科目填列</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057CF06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楷体简体" w:cs="Times New Roman"/>
          <w:color w:val="auto"/>
          <w:sz w:val="32"/>
          <w:szCs w:val="32"/>
        </w:rPr>
        <w:t>（三）政府性基金预算财政拨款支出决算具体情况</w:t>
      </w:r>
    </w:p>
    <w:p w14:paraId="4054CB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年度政府性基金预算财政拨款支出年初预算为</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w:t>
      </w:r>
    </w:p>
    <w:p w14:paraId="6EC0948D">
      <w:pPr>
        <w:keepNext w:val="0"/>
        <w:keepLines w:val="0"/>
        <w:pageBreakBefore w:val="0"/>
        <w:widowControl w:val="0"/>
        <w:tabs>
          <w:tab w:val="center" w:pos="4473"/>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（注：根据各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单位实际支出涉及的支出功能分类项级科目填列，本部分</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w:t>
      </w:r>
      <w:r>
        <w:rPr>
          <w:rFonts w:hint="default" w:ascii="Times New Roman" w:hAnsi="Times New Roman" w:eastAsia="方正仿宋简体" w:cs="Times New Roman"/>
          <w:color w:val="auto"/>
          <w:sz w:val="32"/>
          <w:szCs w:val="32"/>
          <w:lang w:val="en-US" w:eastAsia="zh-CN"/>
        </w:rPr>
        <w:t>度</w:t>
      </w:r>
      <w:r>
        <w:rPr>
          <w:rFonts w:hint="default" w:ascii="Times New Roman" w:hAnsi="Times New Roman" w:eastAsia="方正仿宋简体" w:cs="Times New Roman"/>
          <w:color w:val="auto"/>
          <w:sz w:val="32"/>
          <w:szCs w:val="32"/>
        </w:rPr>
        <w:t>决算相关数据取自财决公开07表；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w:t>
      </w:r>
      <w:r>
        <w:rPr>
          <w:rFonts w:hint="default" w:ascii="Times New Roman" w:hAnsi="Times New Roman" w:eastAsia="方正仿宋简体" w:cs="Times New Roman"/>
          <w:color w:val="auto"/>
          <w:sz w:val="32"/>
          <w:szCs w:val="32"/>
          <w:lang w:val="en-US" w:eastAsia="zh-CN"/>
        </w:rPr>
        <w:t>度</w:t>
      </w:r>
      <w:r>
        <w:rPr>
          <w:rFonts w:hint="default" w:ascii="Times New Roman" w:hAnsi="Times New Roman" w:eastAsia="方正仿宋简体" w:cs="Times New Roman"/>
          <w:color w:val="auto"/>
          <w:sz w:val="32"/>
          <w:szCs w:val="32"/>
        </w:rPr>
        <w:t>决算相关数据取自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4年度部门决算报表</w:t>
      </w:r>
      <w:r>
        <w:rPr>
          <w:rFonts w:hint="default" w:ascii="Times New Roman" w:hAnsi="Times New Roman" w:eastAsia="方正仿宋简体" w:cs="Times New Roman"/>
          <w:color w:val="auto"/>
          <w:sz w:val="32"/>
          <w:szCs w:val="32"/>
        </w:rPr>
        <w:t>财决09表《政府性基金预算财政拨款收入支出决算表》）</w:t>
      </w:r>
      <w:r>
        <w:rPr>
          <w:rFonts w:hint="default" w:ascii="Times New Roman" w:hAnsi="Times New Roman" w:eastAsia="方正仿宋简体" w:cs="Times New Roman"/>
          <w:color w:val="auto"/>
          <w:sz w:val="32"/>
          <w:szCs w:val="32"/>
          <w:lang w:eastAsia="zh-CN"/>
        </w:rPr>
        <w:t>。</w:t>
      </w:r>
    </w:p>
    <w:p w14:paraId="4813930B">
      <w:pPr>
        <w:keepNext w:val="0"/>
        <w:keepLines w:val="0"/>
        <w:pageBreakBefore w:val="0"/>
        <w:widowControl w:val="0"/>
        <w:tabs>
          <w:tab w:val="center" w:pos="4473"/>
        </w:tabs>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八、国有资本经营预算财政拨款支出决算情况说明</w:t>
      </w:r>
    </w:p>
    <w:p w14:paraId="6AB8E91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（一）国有资本经营预算财政拨款支出决算总体情况</w:t>
      </w:r>
    </w:p>
    <w:p w14:paraId="5D4EAC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年度国有资本经营预算财政拨款支出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万元，占本年支出合计的</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年度相比，国有资本经营预算财政拨款支出增加（减少）</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万元，增长（下降）</w:t>
      </w:r>
      <w:r>
        <w:rPr>
          <w:rFonts w:hint="default" w:ascii="Times New Roman" w:hAnsi="Times New Roman" w:eastAsia="方正仿宋简体" w:cs="Times New Roman"/>
          <w:color w:val="auto"/>
          <w:sz w:val="32"/>
          <w:szCs w:val="32"/>
          <w:lang w:val="en-US" w:eastAsia="zh-CN"/>
        </w:rPr>
        <w:t>0.00</w:t>
      </w:r>
      <w:r>
        <w:rPr>
          <w:rFonts w:hint="default" w:ascii="Times New Roman" w:hAnsi="Times New Roman" w:eastAsia="方正仿宋简体" w:cs="Times New Roman"/>
          <w:color w:val="auto"/>
          <w:sz w:val="32"/>
          <w:szCs w:val="32"/>
        </w:rPr>
        <w:t>%。</w:t>
      </w:r>
    </w:p>
    <w:p w14:paraId="27502D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（二）国有资本经营预算财政拨款支出决算结构情况</w:t>
      </w:r>
    </w:p>
    <w:p w14:paraId="4C13C87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年度国有资本经营预算财政拨款支出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w:t>
      </w:r>
      <w:r>
        <w:rPr>
          <w:rFonts w:hint="default" w:ascii="Times New Roman" w:hAnsi="Times New Roman" w:eastAsia="方正仿宋简体" w:cs="Times New Roman"/>
          <w:color w:val="auto"/>
          <w:sz w:val="32"/>
          <w:szCs w:val="32"/>
          <w:lang w:eastAsia="zh-CN"/>
        </w:rPr>
        <w:t>。</w:t>
      </w:r>
    </w:p>
    <w:p w14:paraId="576E37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（注：根据各</w:t>
      </w:r>
      <w:r>
        <w:rPr>
          <w:rFonts w:hint="default" w:ascii="Times New Roman" w:hAnsi="Times New Roman" w:eastAsia="方正仿宋简体" w:cs="Times New Roman"/>
          <w:color w:val="auto"/>
          <w:sz w:val="32"/>
          <w:szCs w:val="32"/>
          <w:lang w:val="en-US" w:eastAsia="zh-CN"/>
        </w:rPr>
        <w:t>预算</w:t>
      </w:r>
      <w:r>
        <w:rPr>
          <w:rFonts w:hint="default" w:ascii="Times New Roman" w:hAnsi="Times New Roman" w:eastAsia="方正仿宋简体" w:cs="Times New Roman"/>
          <w:color w:val="auto"/>
          <w:sz w:val="32"/>
          <w:szCs w:val="32"/>
        </w:rPr>
        <w:t>部门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单位实际支出涉及的支出功能分类类级科目填列</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rPr>
        <w:t>）</w:t>
      </w:r>
    </w:p>
    <w:p w14:paraId="68A1AF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（三）国有资本经营预算财政拨款支出决算具体情况</w:t>
      </w:r>
    </w:p>
    <w:p w14:paraId="62AB25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年度国有资本经营预算财政拨款支出年初预算为</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w:t>
      </w:r>
    </w:p>
    <w:p w14:paraId="659B4634">
      <w:pPr>
        <w:keepNext w:val="0"/>
        <w:keepLines w:val="0"/>
        <w:pageBreakBefore w:val="0"/>
        <w:widowControl w:val="0"/>
        <w:kinsoku/>
        <w:wordWrap/>
        <w:overflowPunct/>
        <w:topLinePunct w:val="0"/>
        <w:autoSpaceDE/>
        <w:autoSpaceDN/>
        <w:bidi w:val="0"/>
        <w:adjustRightInd/>
        <w:snapToGrid/>
        <w:spacing w:line="576" w:lineRule="exact"/>
        <w:ind w:firstLine="627" w:firstLineChars="196"/>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九、财政拨款“三公”经费支出决算情况说明</w:t>
      </w:r>
    </w:p>
    <w:p w14:paraId="5FD9DF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bCs/>
          <w:color w:val="auto"/>
          <w:sz w:val="32"/>
          <w:szCs w:val="32"/>
        </w:rPr>
      </w:pPr>
      <w:r>
        <w:rPr>
          <w:rFonts w:hint="default" w:ascii="Times New Roman" w:hAnsi="Times New Roman" w:eastAsia="方正楷体简体" w:cs="Times New Roman"/>
          <w:bCs/>
          <w:color w:val="auto"/>
          <w:sz w:val="32"/>
          <w:szCs w:val="32"/>
        </w:rPr>
        <w:t>（一）财政拨款“三公”经费支出决算总体情况说明</w:t>
      </w:r>
    </w:p>
    <w:p w14:paraId="0A1A614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年度财政拨款“三公”经费支出预算为</w:t>
      </w:r>
      <w:r>
        <w:rPr>
          <w:rFonts w:hint="default" w:ascii="Times New Roman" w:hAnsi="Times New Roman" w:eastAsia="方正仿宋简体" w:cs="Times New Roman"/>
          <w:color w:val="auto"/>
          <w:sz w:val="32"/>
          <w:szCs w:val="32"/>
          <w:lang w:val="en-US" w:eastAsia="zh-CN"/>
        </w:rPr>
        <w:t>13.15</w:t>
      </w:r>
      <w:r>
        <w:rPr>
          <w:rFonts w:hint="default" w:ascii="Times New Roman" w:hAnsi="Times New Roman" w:eastAsia="方正仿宋简体" w:cs="Times New Roman"/>
          <w:color w:val="auto"/>
          <w:sz w:val="32"/>
          <w:szCs w:val="32"/>
        </w:rPr>
        <w:t>万元，支出决算为</w:t>
      </w:r>
      <w:r>
        <w:rPr>
          <w:rFonts w:hint="default" w:ascii="Times New Roman" w:hAnsi="Times New Roman" w:eastAsia="方正仿宋简体" w:cs="Times New Roman"/>
          <w:color w:val="auto"/>
          <w:sz w:val="32"/>
          <w:szCs w:val="32"/>
          <w:lang w:val="en-US" w:eastAsia="zh-CN"/>
        </w:rPr>
        <w:t>13.15</w:t>
      </w:r>
      <w:r>
        <w:rPr>
          <w:rFonts w:hint="default" w:ascii="Times New Roman" w:hAnsi="Times New Roman" w:eastAsia="方正仿宋简体" w:cs="Times New Roman"/>
          <w:color w:val="auto"/>
          <w:sz w:val="32"/>
          <w:szCs w:val="32"/>
        </w:rPr>
        <w:t>万元，完成预算的</w:t>
      </w:r>
      <w:r>
        <w:rPr>
          <w:rFonts w:hint="default" w:ascii="Times New Roman" w:hAnsi="Times New Roman" w:eastAsia="方正仿宋简体" w:cs="Times New Roman"/>
          <w:color w:val="auto"/>
          <w:sz w:val="32"/>
          <w:szCs w:val="32"/>
          <w:lang w:val="en-US" w:eastAsia="zh-CN"/>
        </w:rPr>
        <w:t xml:space="preserve">100 </w:t>
      </w:r>
      <w:r>
        <w:rPr>
          <w:rFonts w:hint="default" w:ascii="Times New Roman" w:hAnsi="Times New Roman" w:eastAsia="方正仿宋简体" w:cs="Times New Roman"/>
          <w:color w:val="auto"/>
          <w:sz w:val="32"/>
          <w:szCs w:val="32"/>
        </w:rPr>
        <w:t>%，与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年度相比，“三公”经费支出增加</w:t>
      </w:r>
      <w:r>
        <w:rPr>
          <w:rFonts w:hint="default" w:ascii="Times New Roman" w:hAnsi="Times New Roman" w:eastAsia="方正仿宋简体" w:cs="Times New Roman"/>
          <w:color w:val="auto"/>
          <w:sz w:val="32"/>
          <w:szCs w:val="32"/>
          <w:lang w:val="en-US" w:eastAsia="zh-CN"/>
        </w:rPr>
        <w:t>3.38</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34.59</w:t>
      </w:r>
      <w:r>
        <w:rPr>
          <w:rFonts w:hint="default" w:ascii="Times New Roman" w:hAnsi="Times New Roman" w:eastAsia="方正仿宋简体" w:cs="Times New Roman"/>
          <w:color w:val="auto"/>
          <w:sz w:val="32"/>
          <w:szCs w:val="32"/>
        </w:rPr>
        <w:t>%，主要原因是</w:t>
      </w:r>
      <w:r>
        <w:rPr>
          <w:rFonts w:hint="default" w:ascii="Times New Roman" w:hAnsi="Times New Roman" w:eastAsia="方正仿宋简体" w:cs="Times New Roman"/>
          <w:color w:val="auto"/>
          <w:sz w:val="32"/>
          <w:szCs w:val="32"/>
          <w:lang w:val="en-US" w:eastAsia="zh-CN"/>
        </w:rPr>
        <w:t>需维修车辆增多。</w:t>
      </w:r>
    </w:p>
    <w:p w14:paraId="288D8E44">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楷体简体" w:cs="Times New Roman"/>
          <w:color w:val="auto"/>
          <w:sz w:val="32"/>
          <w:szCs w:val="32"/>
        </w:rPr>
      </w:pPr>
      <w:r>
        <w:rPr>
          <w:rFonts w:hint="default" w:ascii="Times New Roman" w:hAnsi="Times New Roman" w:eastAsia="方正楷体简体" w:cs="Times New Roman"/>
          <w:color w:val="auto"/>
          <w:sz w:val="32"/>
          <w:szCs w:val="32"/>
        </w:rPr>
        <w:t>（二）财政拨款“三公”经费支出决算具体情况说明</w:t>
      </w:r>
    </w:p>
    <w:p w14:paraId="14BE27E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年度财政拨款“三公”经费支出决算中，因公出国（境）费支出决算</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%；公务用车购置及运行维护费支出决算</w:t>
      </w:r>
      <w:r>
        <w:rPr>
          <w:rFonts w:hint="default" w:ascii="Times New Roman" w:hAnsi="Times New Roman" w:eastAsia="方正仿宋简体" w:cs="Times New Roman"/>
          <w:color w:val="auto"/>
          <w:sz w:val="32"/>
          <w:szCs w:val="32"/>
          <w:lang w:val="en-US" w:eastAsia="zh-CN"/>
        </w:rPr>
        <w:t>13.15</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%；公务接待费支出决算</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%。具体情况如下：</w:t>
      </w:r>
    </w:p>
    <w:p w14:paraId="7E3693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val="0"/>
          <w:bCs/>
          <w:color w:val="auto"/>
          <w:sz w:val="32"/>
          <w:szCs w:val="32"/>
        </w:rPr>
        <w:t>1.</w:t>
      </w:r>
      <w:r>
        <w:rPr>
          <w:rFonts w:hint="default" w:ascii="Times New Roman" w:hAnsi="Times New Roman" w:eastAsia="方正仿宋简体" w:cs="Times New Roman"/>
          <w:b/>
          <w:color w:val="auto"/>
          <w:sz w:val="32"/>
          <w:szCs w:val="32"/>
        </w:rPr>
        <w:t>因公出国（境）费</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w:t>
      </w:r>
    </w:p>
    <w:p w14:paraId="33833A20">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color w:val="auto"/>
          <w:sz w:val="32"/>
          <w:szCs w:val="32"/>
        </w:rPr>
        <w:t xml:space="preserve">   </w:t>
      </w:r>
      <w:r>
        <w:rPr>
          <w:rFonts w:hint="default" w:ascii="Times New Roman" w:hAnsi="Times New Roman" w:eastAsia="方正仿宋简体" w:cs="Times New Roman"/>
          <w:b w:val="0"/>
          <w:bCs/>
          <w:color w:val="auto"/>
          <w:sz w:val="32"/>
          <w:szCs w:val="32"/>
        </w:rPr>
        <w:t xml:space="preserve"> 2.</w:t>
      </w:r>
      <w:r>
        <w:rPr>
          <w:rFonts w:hint="default" w:ascii="Times New Roman" w:hAnsi="Times New Roman" w:eastAsia="方正仿宋简体" w:cs="Times New Roman"/>
          <w:b/>
          <w:color w:val="auto"/>
          <w:sz w:val="32"/>
          <w:szCs w:val="32"/>
        </w:rPr>
        <w:t>公务用车购置及运行维护费</w:t>
      </w:r>
      <w:r>
        <w:rPr>
          <w:rFonts w:hint="default" w:ascii="Times New Roman" w:hAnsi="Times New Roman" w:eastAsia="方正仿宋简体" w:cs="Times New Roman"/>
          <w:b w:val="0"/>
          <w:bCs/>
          <w:color w:val="auto"/>
          <w:sz w:val="32"/>
          <w:szCs w:val="32"/>
        </w:rPr>
        <w:t>支出</w:t>
      </w:r>
      <w:r>
        <w:rPr>
          <w:rFonts w:hint="default" w:ascii="Times New Roman" w:hAnsi="Times New Roman" w:eastAsia="方正仿宋简体" w:cs="Times New Roman"/>
          <w:color w:val="auto"/>
          <w:sz w:val="32"/>
          <w:szCs w:val="32"/>
          <w:lang w:val="en-US" w:eastAsia="zh-CN"/>
        </w:rPr>
        <w:t>13.15</w:t>
      </w:r>
      <w:r>
        <w:rPr>
          <w:rFonts w:hint="default" w:ascii="Times New Roman" w:hAnsi="Times New Roman" w:eastAsia="方正仿宋简体" w:cs="Times New Roman"/>
          <w:color w:val="auto"/>
          <w:sz w:val="32"/>
          <w:szCs w:val="32"/>
        </w:rPr>
        <w:t>万元。其中：</w:t>
      </w:r>
    </w:p>
    <w:p w14:paraId="5E6562F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color w:val="auto"/>
          <w:sz w:val="32"/>
          <w:szCs w:val="32"/>
        </w:rPr>
        <w:t>公务用车购置</w:t>
      </w:r>
      <w:r>
        <w:rPr>
          <w:rFonts w:hint="default" w:ascii="Times New Roman" w:hAnsi="Times New Roman" w:eastAsia="方正仿宋简体" w:cs="Times New Roman"/>
          <w:b w:val="0"/>
          <w:bCs/>
          <w:color w:val="auto"/>
          <w:sz w:val="32"/>
          <w:szCs w:val="32"/>
        </w:rPr>
        <w:t>支出</w:t>
      </w:r>
      <w:r>
        <w:rPr>
          <w:rFonts w:hint="default" w:ascii="Times New Roman" w:hAnsi="Times New Roman" w:eastAsia="方正仿宋简体" w:cs="Times New Roman"/>
          <w:color w:val="auto"/>
          <w:sz w:val="32"/>
          <w:szCs w:val="32"/>
          <w:lang w:val="en-US"/>
        </w:rPr>
        <w:t>0.00</w:t>
      </w:r>
      <w:r>
        <w:rPr>
          <w:rFonts w:hint="default" w:ascii="Times New Roman" w:hAnsi="Times New Roman" w:eastAsia="方正仿宋简体" w:cs="Times New Roman"/>
          <w:color w:val="auto"/>
          <w:sz w:val="32"/>
          <w:szCs w:val="32"/>
        </w:rPr>
        <w:t>万元，全年购置公务用车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w:t>
      </w:r>
    </w:p>
    <w:p w14:paraId="7BBDD5A1">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
          <w:color w:val="auto"/>
          <w:sz w:val="32"/>
          <w:szCs w:val="32"/>
        </w:rPr>
        <w:t>公务用车运行维护费</w:t>
      </w:r>
      <w:r>
        <w:rPr>
          <w:rFonts w:hint="default" w:ascii="Times New Roman" w:hAnsi="Times New Roman" w:eastAsia="方正仿宋简体" w:cs="Times New Roman"/>
          <w:color w:val="auto"/>
          <w:sz w:val="32"/>
          <w:szCs w:val="32"/>
        </w:rPr>
        <w:t>支出</w:t>
      </w:r>
      <w:r>
        <w:rPr>
          <w:rFonts w:hint="default" w:ascii="Times New Roman" w:hAnsi="Times New Roman" w:eastAsia="方正仿宋简体" w:cs="Times New Roman"/>
          <w:color w:val="auto"/>
          <w:sz w:val="32"/>
          <w:szCs w:val="32"/>
          <w:lang w:val="en-US" w:eastAsia="zh-CN"/>
        </w:rPr>
        <w:t>13.15</w:t>
      </w:r>
      <w:r>
        <w:rPr>
          <w:rFonts w:hint="default" w:ascii="Times New Roman" w:hAnsi="Times New Roman" w:eastAsia="方正仿宋简体" w:cs="Times New Roman"/>
          <w:color w:val="auto"/>
          <w:sz w:val="32"/>
          <w:szCs w:val="32"/>
        </w:rPr>
        <w:t>万元，主要用于</w:t>
      </w:r>
      <w:r>
        <w:rPr>
          <w:rFonts w:hint="default" w:ascii="Times New Roman" w:hAnsi="Times New Roman" w:eastAsia="方正仿宋简体" w:cs="Times New Roman"/>
          <w:color w:val="auto"/>
          <w:sz w:val="32"/>
          <w:szCs w:val="32"/>
          <w:lang w:val="en-US" w:eastAsia="zh-CN"/>
        </w:rPr>
        <w:t>公车维修费</w:t>
      </w:r>
      <w:r>
        <w:rPr>
          <w:rFonts w:hint="default" w:ascii="Times New Roman" w:hAnsi="Times New Roman" w:eastAsia="方正仿宋简体" w:cs="Times New Roman"/>
          <w:color w:val="auto"/>
          <w:sz w:val="32"/>
          <w:szCs w:val="32"/>
        </w:rPr>
        <w:t>。</w:t>
      </w:r>
    </w:p>
    <w:p w14:paraId="50BD911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公务用车购置及运行维护费支出决算数</w:t>
      </w:r>
      <w:r>
        <w:rPr>
          <w:rFonts w:hint="default" w:ascii="Times New Roman" w:hAnsi="Times New Roman" w:eastAsia="方正仿宋简体" w:cs="Times New Roman"/>
          <w:color w:val="auto"/>
          <w:sz w:val="32"/>
          <w:szCs w:val="32"/>
        </w:rPr>
        <w:t>比预算数增加（减少）</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w:t>
      </w:r>
      <w:r>
        <w:rPr>
          <w:rFonts w:hint="default" w:ascii="Times New Roman" w:hAnsi="Times New Roman" w:eastAsia="方正仿宋简体" w:cs="Times New Roman"/>
          <w:color w:val="auto"/>
          <w:sz w:val="32"/>
          <w:szCs w:val="32"/>
          <w:lang w:val="en-US" w:eastAsia="zh-CN"/>
        </w:rPr>
        <w:t>完成预算的100</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val="en-US" w:eastAsia="zh-CN"/>
        </w:rPr>
        <w:t>。</w:t>
      </w:r>
      <w:r>
        <w:rPr>
          <w:rFonts w:hint="default" w:ascii="Times New Roman" w:hAnsi="Times New Roman" w:eastAsia="方正仿宋简体" w:cs="Times New Roman"/>
          <w:color w:val="auto"/>
          <w:sz w:val="32"/>
          <w:szCs w:val="32"/>
        </w:rPr>
        <w:t>与</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年度相比，</w:t>
      </w:r>
      <w:r>
        <w:rPr>
          <w:rFonts w:hint="default" w:ascii="Times New Roman" w:hAnsi="Times New Roman" w:eastAsia="方正仿宋简体" w:cs="Times New Roman"/>
          <w:bCs/>
          <w:color w:val="auto"/>
          <w:sz w:val="32"/>
          <w:szCs w:val="32"/>
        </w:rPr>
        <w:t>公务用车购置及运行维护费</w:t>
      </w:r>
      <w:r>
        <w:rPr>
          <w:rFonts w:hint="default" w:ascii="Times New Roman" w:hAnsi="Times New Roman" w:eastAsia="方正仿宋简体" w:cs="Times New Roman"/>
          <w:color w:val="auto"/>
          <w:sz w:val="32"/>
          <w:szCs w:val="32"/>
        </w:rPr>
        <w:t>支出增加</w:t>
      </w:r>
      <w:r>
        <w:rPr>
          <w:rFonts w:hint="default" w:ascii="Times New Roman" w:hAnsi="Times New Roman" w:eastAsia="方正仿宋简体" w:cs="Times New Roman"/>
          <w:color w:val="auto"/>
          <w:sz w:val="32"/>
          <w:szCs w:val="32"/>
          <w:lang w:val="en-US" w:eastAsia="zh-CN"/>
        </w:rPr>
        <w:t>3.38</w:t>
      </w:r>
      <w:r>
        <w:rPr>
          <w:rFonts w:hint="default" w:ascii="Times New Roman" w:hAnsi="Times New Roman" w:eastAsia="方正仿宋简体" w:cs="Times New Roman"/>
          <w:color w:val="auto"/>
          <w:sz w:val="32"/>
          <w:szCs w:val="32"/>
        </w:rPr>
        <w:t>万元，增长</w:t>
      </w:r>
      <w:r>
        <w:rPr>
          <w:rFonts w:hint="default" w:ascii="Times New Roman" w:hAnsi="Times New Roman" w:eastAsia="方正仿宋简体" w:cs="Times New Roman"/>
          <w:color w:val="auto"/>
          <w:sz w:val="32"/>
          <w:szCs w:val="32"/>
          <w:lang w:val="en-US" w:eastAsia="zh-CN"/>
        </w:rPr>
        <w:t>34.59</w:t>
      </w:r>
      <w:r>
        <w:rPr>
          <w:rFonts w:hint="default" w:ascii="Times New Roman" w:hAnsi="Times New Roman" w:eastAsia="方正仿宋简体" w:cs="Times New Roman"/>
          <w:color w:val="auto"/>
          <w:sz w:val="32"/>
          <w:szCs w:val="32"/>
        </w:rPr>
        <w:t>%。</w:t>
      </w:r>
    </w:p>
    <w:p w14:paraId="6B0813F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
          <w:color w:val="auto"/>
          <w:sz w:val="32"/>
          <w:szCs w:val="32"/>
        </w:rPr>
        <w:t xml:space="preserve">    </w:t>
      </w:r>
      <w:r>
        <w:rPr>
          <w:rFonts w:hint="default" w:ascii="Times New Roman" w:hAnsi="Times New Roman" w:eastAsia="方正仿宋简体" w:cs="Times New Roman"/>
          <w:b w:val="0"/>
          <w:bCs/>
          <w:color w:val="auto"/>
          <w:sz w:val="32"/>
          <w:szCs w:val="32"/>
        </w:rPr>
        <w:t>3.</w:t>
      </w:r>
      <w:r>
        <w:rPr>
          <w:rFonts w:hint="default" w:ascii="Times New Roman" w:hAnsi="Times New Roman" w:eastAsia="方正仿宋简体" w:cs="Times New Roman"/>
          <w:b/>
          <w:color w:val="auto"/>
          <w:sz w:val="32"/>
          <w:szCs w:val="32"/>
        </w:rPr>
        <w:t>公务接待费</w:t>
      </w:r>
      <w:r>
        <w:rPr>
          <w:rFonts w:hint="default" w:ascii="Times New Roman" w:hAnsi="Times New Roman" w:eastAsia="方正仿宋简体" w:cs="Times New Roman"/>
          <w:b w:val="0"/>
          <w:bCs/>
          <w:color w:val="auto"/>
          <w:sz w:val="32"/>
          <w:szCs w:val="32"/>
        </w:rPr>
        <w:t>支出</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w:t>
      </w:r>
    </w:p>
    <w:p w14:paraId="72EF87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年度“三公”经费预算数、决算数可取自财决公开09表，出国团组数、出国人次，公务用车购置数、公务用车保有量，接待团组数、接待人次可取自部门决算报表F03表《机构运行信息表》，</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年度相关数据可取自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4</w:t>
      </w:r>
      <w:r>
        <w:rPr>
          <w:rFonts w:hint="default" w:ascii="Times New Roman" w:hAnsi="Times New Roman" w:eastAsia="方正仿宋简体" w:cs="Times New Roman"/>
          <w:color w:val="auto"/>
          <w:sz w:val="32"/>
          <w:szCs w:val="32"/>
        </w:rPr>
        <w:t>年度部门决算报表F03表《机构运行信息表》）</w:t>
      </w:r>
      <w:r>
        <w:rPr>
          <w:rFonts w:hint="default" w:ascii="Times New Roman" w:hAnsi="Times New Roman" w:eastAsia="方正仿宋简体" w:cs="Times New Roman"/>
          <w:color w:val="auto"/>
          <w:sz w:val="32"/>
          <w:szCs w:val="32"/>
          <w:lang w:eastAsia="zh-CN"/>
        </w:rPr>
        <w:t>。</w:t>
      </w:r>
    </w:p>
    <w:p w14:paraId="7DED451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十、预算绩效情况说明</w:t>
      </w:r>
    </w:p>
    <w:p w14:paraId="295F66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bCs/>
          <w:color w:val="auto"/>
          <w:sz w:val="32"/>
          <w:szCs w:val="32"/>
        </w:rPr>
      </w:pPr>
      <w:r>
        <w:rPr>
          <w:rFonts w:hint="default" w:ascii="Times New Roman" w:hAnsi="Times New Roman" w:eastAsia="方正楷体简体" w:cs="Times New Roman"/>
          <w:bCs/>
          <w:color w:val="auto"/>
          <w:sz w:val="32"/>
          <w:szCs w:val="32"/>
        </w:rPr>
        <w:t>（一）绩效管理工作开展情况</w:t>
      </w:r>
    </w:p>
    <w:p w14:paraId="3ED00A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根据财政预算绩效管理要求，可按照如下格式说明：根据预算管理要求，</w:t>
      </w:r>
      <w:r>
        <w:rPr>
          <w:rFonts w:hint="default" w:ascii="Times New Roman" w:hAnsi="Times New Roman" w:eastAsia="方正仿宋简体" w:cs="Times New Roman"/>
          <w:color w:val="auto"/>
          <w:sz w:val="32"/>
          <w:szCs w:val="32"/>
          <w:lang w:val="en-US" w:eastAsia="zh-CN"/>
        </w:rPr>
        <w:t>聂荣县人民法院</w:t>
      </w:r>
      <w:r>
        <w:rPr>
          <w:rFonts w:hint="default" w:ascii="Times New Roman" w:hAnsi="Times New Roman" w:eastAsia="方正仿宋简体" w:cs="Times New Roman"/>
          <w:color w:val="auto"/>
          <w:sz w:val="32"/>
          <w:szCs w:val="32"/>
        </w:rPr>
        <w:t>组织对</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年度一般公共预算项目支出全面开展绩效自评</w:t>
      </w:r>
      <w:r>
        <w:rPr>
          <w:rFonts w:hint="default" w:ascii="Times New Roman" w:hAnsi="Times New Roman" w:eastAsia="方正仿宋简体" w:cs="Times New Roman"/>
          <w:color w:val="auto"/>
          <w:sz w:val="32"/>
          <w:szCs w:val="32"/>
          <w:lang w:val="en-US"/>
        </w:rPr>
        <w:t>,</w:t>
      </w:r>
      <w:r>
        <w:rPr>
          <w:rFonts w:hint="default" w:ascii="Times New Roman" w:hAnsi="Times New Roman" w:eastAsia="方正仿宋简体" w:cs="Times New Roman"/>
          <w:color w:val="auto"/>
          <w:sz w:val="32"/>
          <w:szCs w:val="32"/>
          <w:lang w:val="en-US" w:eastAsia="zh-CN"/>
        </w:rPr>
        <w:t>共涉及资金415.43万元，占一般公共预算项目支出总额的32.16%</w:t>
      </w:r>
      <w:r>
        <w:rPr>
          <w:rFonts w:hint="default" w:ascii="Times New Roman" w:hAnsi="Times New Roman" w:eastAsia="方正仿宋简体" w:cs="Times New Roman"/>
          <w:color w:val="auto"/>
          <w:sz w:val="32"/>
          <w:szCs w:val="32"/>
        </w:rPr>
        <w:t>。</w:t>
      </w:r>
    </w:p>
    <w:p w14:paraId="18D1BC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eastAsia="zh-CN"/>
        </w:rPr>
        <w:t>我院</w:t>
      </w:r>
      <w:r>
        <w:rPr>
          <w:rFonts w:hint="default" w:ascii="Times New Roman" w:hAnsi="Times New Roman" w:eastAsia="方正仿宋简体" w:cs="Times New Roman"/>
          <w:color w:val="auto"/>
          <w:sz w:val="32"/>
          <w:szCs w:val="32"/>
        </w:rPr>
        <w:t>组织对</w:t>
      </w:r>
      <w:r>
        <w:rPr>
          <w:rFonts w:hint="default" w:ascii="Times New Roman" w:hAnsi="Times New Roman" w:eastAsia="方正仿宋简体" w:cs="Times New Roman"/>
          <w:color w:val="auto"/>
          <w:sz w:val="32"/>
          <w:szCs w:val="32"/>
          <w:lang w:val="en-US" w:eastAsia="zh-CN"/>
        </w:rPr>
        <w:t>中央转移支付资金</w:t>
      </w:r>
      <w:r>
        <w:rPr>
          <w:rFonts w:hint="default" w:ascii="Times New Roman" w:hAnsi="Times New Roman" w:eastAsia="方正仿宋简体" w:cs="Times New Roman"/>
          <w:color w:val="auto"/>
          <w:sz w:val="32"/>
          <w:szCs w:val="32"/>
        </w:rPr>
        <w:t>项目开展了部门评价，</w:t>
      </w:r>
      <w:r>
        <w:rPr>
          <w:rFonts w:hint="default" w:ascii="Times New Roman" w:hAnsi="Times New Roman" w:eastAsia="方正仿宋简体" w:cs="Times New Roman"/>
          <w:color w:val="auto"/>
          <w:sz w:val="32"/>
          <w:szCs w:val="32"/>
          <w:lang w:bidi="ar"/>
        </w:rPr>
        <w:t>涉及一般公共预算支出</w:t>
      </w:r>
      <w:r>
        <w:rPr>
          <w:rFonts w:hint="default" w:ascii="Times New Roman" w:hAnsi="Times New Roman" w:eastAsia="方正仿宋简体" w:cs="Times New Roman"/>
          <w:color w:val="auto"/>
          <w:sz w:val="32"/>
          <w:szCs w:val="32"/>
          <w:lang w:val="en-US" w:eastAsia="zh-CN"/>
        </w:rPr>
        <w:t>415.43</w:t>
      </w:r>
      <w:r>
        <w:rPr>
          <w:rFonts w:hint="default" w:ascii="Times New Roman" w:hAnsi="Times New Roman" w:eastAsia="方正仿宋简体" w:cs="Times New Roman"/>
          <w:color w:val="auto"/>
          <w:sz w:val="32"/>
          <w:szCs w:val="32"/>
          <w:lang w:bidi="ar"/>
        </w:rPr>
        <w:t>万元。</w:t>
      </w:r>
      <w:r>
        <w:rPr>
          <w:rFonts w:hint="default" w:ascii="Times New Roman" w:hAnsi="Times New Roman" w:eastAsia="方正仿宋简体" w:cs="Times New Roman"/>
          <w:color w:val="auto"/>
          <w:sz w:val="32"/>
          <w:szCs w:val="32"/>
        </w:rPr>
        <w:t>（预算部门如有，请对预算绩效评价情况进行简单说明；没有，则简要说明本年没有进行相关工作及理由。部门所属单位不需填写此项）。</w:t>
      </w:r>
    </w:p>
    <w:p w14:paraId="4A25B8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楷体简体" w:cs="Times New Roman"/>
          <w:bCs/>
          <w:color w:val="auto"/>
          <w:sz w:val="32"/>
          <w:szCs w:val="32"/>
        </w:rPr>
        <w:t>（二）部门决算中项目绩效自评结果</w:t>
      </w:r>
      <w:r>
        <w:rPr>
          <w:rFonts w:hint="default" w:ascii="Times New Roman" w:hAnsi="Times New Roman" w:eastAsia="方正仿宋简体" w:cs="Times New Roman"/>
          <w:bCs/>
          <w:color w:val="auto"/>
          <w:sz w:val="32"/>
          <w:szCs w:val="32"/>
        </w:rPr>
        <w:t>（预算部门、单位可根据实际情况反映重点项目绩效自评结果）</w:t>
      </w:r>
    </w:p>
    <w:p w14:paraId="639122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参照如下格式说明（表述应与决算内容保持一致）：我部门（单位）在部门决算中反映</w:t>
      </w:r>
      <w:r>
        <w:rPr>
          <w:rFonts w:hint="default" w:ascii="Times New Roman" w:hAnsi="Times New Roman" w:eastAsia="方正仿宋简体" w:cs="Times New Roman"/>
          <w:color w:val="auto"/>
          <w:sz w:val="32"/>
          <w:szCs w:val="32"/>
          <w:lang w:val="en-US" w:eastAsia="zh-CN"/>
        </w:rPr>
        <w:t>中央转移支付资金</w:t>
      </w:r>
      <w:r>
        <w:rPr>
          <w:rFonts w:hint="default" w:ascii="Times New Roman" w:hAnsi="Times New Roman" w:eastAsia="方正仿宋简体" w:cs="Times New Roman"/>
          <w:color w:val="auto"/>
          <w:sz w:val="32"/>
          <w:szCs w:val="32"/>
        </w:rPr>
        <w:t>项目绩效自评结果（包括项目绩效自评表和项目绩效自评报告）。</w:t>
      </w:r>
    </w:p>
    <w:p w14:paraId="378040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lang w:val="en-US" w:eastAsia="zh-CN"/>
        </w:rPr>
        <w:t>中央转移支付资金</w:t>
      </w:r>
      <w:r>
        <w:rPr>
          <w:rFonts w:hint="default" w:ascii="Times New Roman" w:hAnsi="Times New Roman" w:eastAsia="方正仿宋简体" w:cs="Times New Roman"/>
          <w:color w:val="auto"/>
          <w:sz w:val="32"/>
          <w:szCs w:val="32"/>
        </w:rPr>
        <w:t>项目绩效自评表：</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lang w:val="en-US" w:eastAsia="zh-CN"/>
        </w:rPr>
        <w:t>可作为附件附后</w:t>
      </w:r>
      <w:r>
        <w:rPr>
          <w:rFonts w:hint="default" w:ascii="Times New Roman" w:hAnsi="Times New Roman" w:eastAsia="方正仿宋简体" w:cs="Times New Roman"/>
          <w:color w:val="auto"/>
          <w:sz w:val="32"/>
          <w:szCs w:val="32"/>
          <w:lang w:eastAsia="zh-CN"/>
        </w:rPr>
        <w:t>）</w:t>
      </w:r>
    </w:p>
    <w:p w14:paraId="05247C2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eastAsia="zh-CN"/>
        </w:rPr>
        <w:t>中央转移支付资金</w:t>
      </w:r>
      <w:r>
        <w:rPr>
          <w:rFonts w:hint="default" w:ascii="Times New Roman" w:hAnsi="Times New Roman" w:eastAsia="方正仿宋简体" w:cs="Times New Roman"/>
          <w:color w:val="auto"/>
          <w:sz w:val="32"/>
          <w:szCs w:val="32"/>
        </w:rPr>
        <w:t>项目绩效自评报告：根据年初设定的绩效目标，项目绩效自评得分为</w:t>
      </w:r>
      <w:r>
        <w:rPr>
          <w:rFonts w:hint="default" w:ascii="Times New Roman" w:hAnsi="Times New Roman" w:eastAsia="方正仿宋简体" w:cs="Times New Roman"/>
          <w:color w:val="auto"/>
          <w:sz w:val="32"/>
          <w:szCs w:val="32"/>
          <w:lang w:val="en-US" w:eastAsia="zh-CN"/>
        </w:rPr>
        <w:t>98</w:t>
      </w:r>
      <w:r>
        <w:rPr>
          <w:rFonts w:hint="default" w:ascii="Times New Roman" w:hAnsi="Times New Roman" w:eastAsia="方正仿宋简体" w:cs="Times New Roman"/>
          <w:color w:val="auto"/>
          <w:sz w:val="32"/>
          <w:szCs w:val="32"/>
        </w:rPr>
        <w:t>分。全年预算数为</w:t>
      </w:r>
      <w:r>
        <w:rPr>
          <w:rFonts w:hint="default" w:ascii="Times New Roman" w:hAnsi="Times New Roman" w:eastAsia="方正仿宋简体" w:cs="Times New Roman"/>
          <w:color w:val="auto"/>
          <w:sz w:val="32"/>
          <w:szCs w:val="32"/>
          <w:lang w:val="en-US" w:eastAsia="zh-CN"/>
        </w:rPr>
        <w:t>415.43</w:t>
      </w:r>
      <w:r>
        <w:rPr>
          <w:rFonts w:hint="default" w:ascii="Times New Roman" w:hAnsi="Times New Roman" w:eastAsia="方正仿宋简体" w:cs="Times New Roman"/>
          <w:color w:val="auto"/>
          <w:sz w:val="32"/>
          <w:szCs w:val="32"/>
        </w:rPr>
        <w:t>万元，执行数为</w:t>
      </w:r>
      <w:r>
        <w:rPr>
          <w:rFonts w:hint="default" w:ascii="Times New Roman" w:hAnsi="Times New Roman" w:eastAsia="方正仿宋简体" w:cs="Times New Roman"/>
          <w:color w:val="auto"/>
          <w:sz w:val="32"/>
          <w:szCs w:val="32"/>
          <w:lang w:val="en-US" w:eastAsia="zh-CN"/>
        </w:rPr>
        <w:t>415.43</w:t>
      </w:r>
      <w:r>
        <w:rPr>
          <w:rFonts w:hint="default" w:ascii="Times New Roman" w:hAnsi="Times New Roman" w:eastAsia="方正仿宋简体" w:cs="Times New Roman"/>
          <w:color w:val="auto"/>
          <w:sz w:val="32"/>
          <w:szCs w:val="32"/>
        </w:rPr>
        <w:t>万元，完成预算的</w:t>
      </w:r>
      <w:r>
        <w:rPr>
          <w:rFonts w:hint="default" w:ascii="Times New Roman" w:hAnsi="Times New Roman" w:eastAsia="方正仿宋简体" w:cs="Times New Roman"/>
          <w:color w:val="auto"/>
          <w:sz w:val="32"/>
          <w:szCs w:val="32"/>
          <w:lang w:val="en-US" w:eastAsia="zh-CN"/>
        </w:rPr>
        <w:t>100</w:t>
      </w:r>
      <w:r>
        <w:rPr>
          <w:rFonts w:hint="default" w:ascii="Times New Roman" w:hAnsi="Times New Roman" w:eastAsia="方正仿宋简体" w:cs="Times New Roman"/>
          <w:color w:val="auto"/>
          <w:sz w:val="32"/>
          <w:szCs w:val="32"/>
        </w:rPr>
        <w:t>%。</w:t>
      </w:r>
    </w:p>
    <w:p w14:paraId="351958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Cs/>
          <w:color w:val="auto"/>
          <w:sz w:val="32"/>
          <w:szCs w:val="32"/>
          <w:lang w:val="en-US" w:eastAsia="zh-CN"/>
        </w:rPr>
      </w:pPr>
      <w:r>
        <w:rPr>
          <w:rFonts w:hint="default" w:ascii="Times New Roman" w:hAnsi="Times New Roman" w:eastAsia="方正楷体简体" w:cs="Times New Roman"/>
          <w:bCs/>
          <w:color w:val="auto"/>
          <w:sz w:val="32"/>
          <w:szCs w:val="32"/>
        </w:rPr>
        <w:t>（三）部门评价结果</w:t>
      </w:r>
      <w:r>
        <w:rPr>
          <w:rFonts w:hint="default" w:ascii="Times New Roman" w:hAnsi="Times New Roman" w:eastAsia="方正仿宋简体" w:cs="Times New Roman"/>
          <w:bCs/>
          <w:color w:val="auto"/>
          <w:sz w:val="32"/>
          <w:szCs w:val="32"/>
        </w:rPr>
        <w:t>（预算部门填写，部门所属单位不需填写）</w:t>
      </w:r>
      <w:r>
        <w:rPr>
          <w:rFonts w:hint="default" w:ascii="Times New Roman" w:hAnsi="Times New Roman" w:eastAsia="方正仿宋简体" w:cs="Times New Roman"/>
          <w:bCs/>
          <w:color w:val="auto"/>
          <w:sz w:val="32"/>
          <w:szCs w:val="32"/>
          <w:lang w:val="en-US" w:eastAsia="zh-CN"/>
        </w:rPr>
        <w:t>产出、社会评价</w:t>
      </w:r>
    </w:p>
    <w:p w14:paraId="06DA85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kern w:val="0"/>
          <w:sz w:val="32"/>
          <w:szCs w:val="32"/>
          <w:lang w:bidi="ar"/>
        </w:rPr>
      </w:pPr>
      <w:r>
        <w:rPr>
          <w:rFonts w:hint="default" w:ascii="Times New Roman" w:hAnsi="Times New Roman" w:eastAsia="方正仿宋简体" w:cs="Times New Roman"/>
          <w:color w:val="auto"/>
          <w:kern w:val="0"/>
          <w:sz w:val="32"/>
          <w:szCs w:val="32"/>
          <w:lang w:bidi="ar"/>
        </w:rPr>
        <w:t>部门评价项目数量在3个以内的，至少将1个部门评价报告向社会公开；部门评价项目数量大于3个的，至少将2个部门评价报告向社会公开。</w:t>
      </w:r>
    </w:p>
    <w:p w14:paraId="7DC02C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bCs/>
          <w:color w:val="auto"/>
          <w:sz w:val="32"/>
          <w:szCs w:val="32"/>
        </w:rPr>
      </w:pPr>
      <w:r>
        <w:rPr>
          <w:rFonts w:hint="default" w:ascii="Times New Roman" w:hAnsi="Times New Roman" w:eastAsia="方正楷体简体" w:cs="Times New Roman"/>
          <w:bCs/>
          <w:color w:val="auto"/>
          <w:sz w:val="32"/>
          <w:szCs w:val="32"/>
        </w:rPr>
        <w:t>（四）财政评价结果</w:t>
      </w:r>
      <w:r>
        <w:rPr>
          <w:rFonts w:hint="default" w:ascii="Times New Roman" w:hAnsi="Times New Roman" w:eastAsia="方正仿宋简体" w:cs="Times New Roman"/>
          <w:bCs/>
          <w:color w:val="auto"/>
          <w:sz w:val="32"/>
          <w:szCs w:val="32"/>
        </w:rPr>
        <w:t>（如有）</w:t>
      </w:r>
    </w:p>
    <w:p w14:paraId="40221B9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lang w:val="en-US" w:eastAsia="zh-CN"/>
        </w:rPr>
        <w:t>无。</w:t>
      </w:r>
    </w:p>
    <w:p w14:paraId="35DA1B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十一、其他重要事项情况说明</w:t>
      </w:r>
    </w:p>
    <w:p w14:paraId="72D716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bCs/>
          <w:color w:val="auto"/>
          <w:sz w:val="32"/>
          <w:szCs w:val="32"/>
        </w:rPr>
      </w:pPr>
      <w:bookmarkStart w:id="97" w:name="_Toc15262_WPSOffice_Level2"/>
      <w:bookmarkStart w:id="98" w:name="_Toc23598_WPSOffice_Level2"/>
      <w:bookmarkStart w:id="99" w:name="_Toc5978_WPSOffice_Level2"/>
      <w:bookmarkStart w:id="100" w:name="_Toc32639_WPSOffice_Level2"/>
      <w:bookmarkStart w:id="101" w:name="_Toc15565_WPSOffice_Level2"/>
      <w:bookmarkStart w:id="102" w:name="_Toc18325_WPSOffice_Level2"/>
      <w:r>
        <w:rPr>
          <w:rFonts w:hint="default" w:ascii="Times New Roman" w:hAnsi="Times New Roman" w:eastAsia="方正楷体简体" w:cs="Times New Roman"/>
          <w:bCs/>
          <w:color w:val="auto"/>
          <w:sz w:val="32"/>
          <w:szCs w:val="32"/>
        </w:rPr>
        <w:t>（一）机关运行经费支出情况</w:t>
      </w:r>
      <w:bookmarkEnd w:id="97"/>
      <w:bookmarkEnd w:id="98"/>
      <w:bookmarkEnd w:id="99"/>
      <w:bookmarkEnd w:id="100"/>
      <w:bookmarkEnd w:id="101"/>
      <w:bookmarkEnd w:id="102"/>
    </w:p>
    <w:p w14:paraId="3752982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w:t>
      </w:r>
      <w:r>
        <w:rPr>
          <w:rFonts w:hint="default" w:ascii="Times New Roman" w:hAnsi="Times New Roman" w:eastAsia="方正仿宋简体" w:cs="Times New Roman"/>
          <w:color w:val="auto"/>
          <w:sz w:val="32"/>
          <w:szCs w:val="32"/>
          <w:lang w:val="en-US" w:eastAsia="zh-CN"/>
        </w:rPr>
        <w:t>聂荣县人民法院</w:t>
      </w:r>
      <w:r>
        <w:rPr>
          <w:rFonts w:hint="default" w:ascii="Times New Roman" w:hAnsi="Times New Roman" w:eastAsia="方正仿宋简体" w:cs="Times New Roman"/>
          <w:color w:val="auto"/>
          <w:sz w:val="32"/>
          <w:szCs w:val="32"/>
        </w:rPr>
        <w:t>运行经费</w:t>
      </w:r>
      <w:r>
        <w:rPr>
          <w:rFonts w:hint="default" w:ascii="Times New Roman" w:hAnsi="Times New Roman" w:eastAsia="方正仿宋简体" w:cs="Times New Roman"/>
          <w:color w:val="auto"/>
          <w:sz w:val="32"/>
          <w:szCs w:val="32"/>
          <w:lang w:val="en-US" w:eastAsia="zh-CN"/>
        </w:rPr>
        <w:t>51.50</w:t>
      </w:r>
      <w:r>
        <w:rPr>
          <w:rFonts w:hint="default" w:ascii="Times New Roman" w:hAnsi="Times New Roman" w:eastAsia="方正仿宋简体" w:cs="Times New Roman"/>
          <w:color w:val="auto"/>
          <w:sz w:val="32"/>
          <w:szCs w:val="32"/>
        </w:rPr>
        <w:t>万元（为部门决算中行政单位和参公事业单位财政拨款基本支出中公用经费支出之和，事业单位没有机关运行经费支出），比年初预算增加（减少）</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w:t>
      </w:r>
      <w:r>
        <w:rPr>
          <w:rFonts w:hint="default" w:ascii="Times New Roman" w:hAnsi="Times New Roman" w:eastAsia="方正仿宋简体" w:cs="Times New Roman"/>
          <w:color w:val="auto"/>
          <w:sz w:val="32"/>
          <w:szCs w:val="32"/>
          <w:lang w:val="en-US" w:eastAsia="zh-CN"/>
        </w:rPr>
        <w:t>完成预算的100</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lang w:val="en-US" w:eastAsia="zh-CN"/>
        </w:rPr>
        <w:t>与2024年度相比，机关运行经费</w:t>
      </w:r>
      <w:r>
        <w:rPr>
          <w:rFonts w:hint="default" w:ascii="Times New Roman" w:hAnsi="Times New Roman" w:eastAsia="方正仿宋简体" w:cs="Times New Roman"/>
          <w:color w:val="auto"/>
          <w:sz w:val="32"/>
          <w:szCs w:val="32"/>
        </w:rPr>
        <w:t>增加</w:t>
      </w:r>
      <w:r>
        <w:rPr>
          <w:rFonts w:hint="default" w:ascii="Times New Roman" w:hAnsi="Times New Roman" w:eastAsia="方正仿宋简体" w:cs="Times New Roman"/>
          <w:color w:val="auto"/>
          <w:sz w:val="32"/>
          <w:szCs w:val="32"/>
          <w:lang w:val="en-US" w:eastAsia="zh-CN"/>
        </w:rPr>
        <w:t>19.68</w:t>
      </w:r>
      <w:r>
        <w:rPr>
          <w:rFonts w:hint="default" w:ascii="Times New Roman" w:hAnsi="Times New Roman" w:eastAsia="方正仿宋简体" w:cs="Times New Roman"/>
          <w:color w:val="auto"/>
          <w:sz w:val="32"/>
          <w:szCs w:val="32"/>
        </w:rPr>
        <w:t>万元</w:t>
      </w:r>
      <w:r>
        <w:rPr>
          <w:rFonts w:hint="default" w:ascii="Times New Roman" w:hAnsi="Times New Roman" w:eastAsia="方正仿宋简体" w:cs="Times New Roman"/>
          <w:color w:val="auto"/>
          <w:sz w:val="32"/>
          <w:szCs w:val="32"/>
          <w:lang w:eastAsia="zh-CN"/>
        </w:rPr>
        <w:t>，</w:t>
      </w:r>
      <w:r>
        <w:rPr>
          <w:rFonts w:hint="default" w:ascii="Times New Roman" w:hAnsi="Times New Roman" w:eastAsia="方正仿宋简体" w:cs="Times New Roman"/>
          <w:color w:val="auto"/>
          <w:sz w:val="32"/>
          <w:szCs w:val="32"/>
          <w:lang w:val="en-US" w:eastAsia="zh-CN"/>
        </w:rPr>
        <w:t>增长38.21</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sz w:val="32"/>
          <w:szCs w:val="32"/>
          <w:lang w:val="en-US" w:eastAsia="zh-CN"/>
        </w:rPr>
        <w:t>。</w:t>
      </w:r>
    </w:p>
    <w:p w14:paraId="666E12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机关运行经费预算数可取自部门决算报表财决01-1表《财政拨款收入支出决算总表》，年初预算数-一般公共预算财政拨款-公用经费，注意部门汇总公开决算时，因事业单位没有机关运行经费支出，故部门汇总的机关运行经费预算数应为部门所属的各行政单位或参公单位的汇总数；决算数可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年度部门决算报表F03表《机构运行信息表》“机关运行经费”栏。）</w:t>
      </w:r>
    </w:p>
    <w:p w14:paraId="4CC2EC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bCs/>
          <w:color w:val="auto"/>
          <w:sz w:val="32"/>
          <w:szCs w:val="32"/>
        </w:rPr>
      </w:pPr>
      <w:bookmarkStart w:id="103" w:name="_Toc23966_WPSOffice_Level2"/>
      <w:bookmarkStart w:id="104" w:name="_Toc13084_WPSOffice_Level2"/>
      <w:bookmarkStart w:id="105" w:name="_Toc30383_WPSOffice_Level2"/>
      <w:bookmarkStart w:id="106" w:name="_Toc3131_WPSOffice_Level2"/>
      <w:bookmarkStart w:id="107" w:name="_Toc32689_WPSOffice_Level2"/>
      <w:bookmarkStart w:id="108" w:name="_Toc25333_WPSOffice_Level2"/>
      <w:r>
        <w:rPr>
          <w:rFonts w:hint="default" w:ascii="Times New Roman" w:hAnsi="Times New Roman" w:eastAsia="方正楷体简体" w:cs="Times New Roman"/>
          <w:bCs/>
          <w:color w:val="auto"/>
          <w:sz w:val="32"/>
          <w:szCs w:val="32"/>
        </w:rPr>
        <w:t>（二）政府采购支出情况</w:t>
      </w:r>
      <w:bookmarkEnd w:id="103"/>
      <w:bookmarkEnd w:id="104"/>
      <w:bookmarkEnd w:id="105"/>
      <w:bookmarkEnd w:id="106"/>
      <w:bookmarkEnd w:id="107"/>
      <w:bookmarkEnd w:id="108"/>
    </w:p>
    <w:p w14:paraId="4FB10DC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w:t>
      </w:r>
      <w:r>
        <w:rPr>
          <w:rFonts w:hint="default" w:ascii="Times New Roman" w:hAnsi="Times New Roman" w:eastAsia="方正仿宋简体" w:cs="Times New Roman"/>
          <w:color w:val="auto"/>
          <w:sz w:val="32"/>
          <w:szCs w:val="32"/>
          <w:lang w:val="en-US" w:eastAsia="zh-CN"/>
        </w:rPr>
        <w:t>聂荣县人民法院</w:t>
      </w:r>
      <w:r>
        <w:rPr>
          <w:rFonts w:hint="default" w:ascii="Times New Roman" w:hAnsi="Times New Roman" w:eastAsia="方正仿宋简体" w:cs="Times New Roman"/>
          <w:color w:val="auto"/>
          <w:sz w:val="32"/>
          <w:szCs w:val="32"/>
        </w:rPr>
        <w:t>政府采购支出总额</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万元，其中：政府采购货物支出</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万元、政府采购工程支出</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万元、政府采购服务支出</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万元。授予中小企业合同金额</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万元，占政府采购支出总额的</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%，其中：授予小微企业合同金额</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万元，占</w:t>
      </w:r>
      <w:r>
        <w:rPr>
          <w:rFonts w:hint="default" w:ascii="Times New Roman" w:hAnsi="Times New Roman" w:eastAsia="方正仿宋简体" w:cs="Times New Roman"/>
          <w:color w:val="auto"/>
          <w:kern w:val="0"/>
          <w:sz w:val="32"/>
          <w:szCs w:val="32"/>
          <w:lang w:bidi="ar"/>
        </w:rPr>
        <w:t>授予中小企业合同金额</w:t>
      </w:r>
      <w:r>
        <w:rPr>
          <w:rFonts w:hint="default" w:ascii="Times New Roman" w:hAnsi="Times New Roman" w:eastAsia="方正仿宋简体" w:cs="Times New Roman"/>
          <w:color w:val="auto"/>
          <w:sz w:val="32"/>
          <w:szCs w:val="32"/>
        </w:rPr>
        <w:t>的</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w:t>
      </w:r>
    </w:p>
    <w:p w14:paraId="7EDDD1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（注：上述政府采购支出相关</w:t>
      </w:r>
      <w:r>
        <w:rPr>
          <w:rFonts w:hint="default" w:ascii="Times New Roman" w:hAnsi="Times New Roman" w:eastAsia="方正仿宋简体" w:cs="Times New Roman"/>
          <w:color w:val="auto"/>
          <w:sz w:val="32"/>
          <w:szCs w:val="32"/>
          <w:lang w:val="en-US" w:eastAsia="zh-CN"/>
        </w:rPr>
        <w:t>数据</w:t>
      </w:r>
      <w:r>
        <w:rPr>
          <w:rFonts w:hint="default" w:ascii="Times New Roman" w:hAnsi="Times New Roman" w:eastAsia="方正仿宋简体" w:cs="Times New Roman"/>
          <w:color w:val="auto"/>
          <w:sz w:val="32"/>
          <w:szCs w:val="32"/>
        </w:rPr>
        <w:t>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年度部门决算报表F03表《机构运行信息表》，授予中小企业和小微企业合同金额由各部门查阅本部门相关资料填写。）</w:t>
      </w:r>
    </w:p>
    <w:p w14:paraId="4D0E03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楷体简体" w:cs="Times New Roman"/>
          <w:bCs/>
          <w:color w:val="auto"/>
          <w:sz w:val="32"/>
          <w:szCs w:val="32"/>
        </w:rPr>
      </w:pPr>
      <w:bookmarkStart w:id="109" w:name="_Toc10902_WPSOffice_Level2"/>
      <w:bookmarkStart w:id="110" w:name="_Toc29584_WPSOffice_Level2"/>
      <w:bookmarkStart w:id="111" w:name="_Toc19989_WPSOffice_Level2"/>
      <w:bookmarkStart w:id="112" w:name="_Toc527_WPSOffice_Level2"/>
      <w:bookmarkStart w:id="113" w:name="_Toc6016_WPSOffice_Level2"/>
      <w:bookmarkStart w:id="114" w:name="_Toc15129_WPSOffice_Level2"/>
      <w:r>
        <w:rPr>
          <w:rFonts w:hint="default" w:ascii="Times New Roman" w:hAnsi="Times New Roman" w:eastAsia="方正楷体简体" w:cs="Times New Roman"/>
          <w:bCs/>
          <w:color w:val="auto"/>
          <w:sz w:val="32"/>
          <w:szCs w:val="32"/>
        </w:rPr>
        <w:t>（三）国有资产占用情况</w:t>
      </w:r>
      <w:bookmarkEnd w:id="109"/>
      <w:bookmarkEnd w:id="110"/>
      <w:bookmarkEnd w:id="111"/>
      <w:bookmarkEnd w:id="112"/>
      <w:bookmarkEnd w:id="113"/>
      <w:bookmarkEnd w:id="114"/>
    </w:p>
    <w:p w14:paraId="116041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bCs/>
          <w:color w:val="auto"/>
          <w:sz w:val="32"/>
          <w:szCs w:val="32"/>
        </w:rPr>
        <w:t>截至</w:t>
      </w:r>
      <w:r>
        <w:rPr>
          <w:rFonts w:hint="default" w:ascii="Times New Roman" w:hAnsi="Times New Roman" w:eastAsia="方正仿宋简体" w:cs="Times New Roman"/>
          <w:bCs/>
          <w:color w:val="auto"/>
          <w:sz w:val="32"/>
          <w:szCs w:val="32"/>
          <w:lang w:val="en-US"/>
        </w:rPr>
        <w:t>202</w:t>
      </w:r>
      <w:r>
        <w:rPr>
          <w:rFonts w:hint="default" w:ascii="Times New Roman" w:hAnsi="Times New Roman" w:eastAsia="方正仿宋简体" w:cs="Times New Roman"/>
          <w:bCs/>
          <w:color w:val="auto"/>
          <w:sz w:val="32"/>
          <w:szCs w:val="32"/>
          <w:lang w:val="en-US" w:eastAsia="zh-CN"/>
        </w:rPr>
        <w:t>5</w:t>
      </w:r>
      <w:r>
        <w:rPr>
          <w:rFonts w:hint="default" w:ascii="Times New Roman" w:hAnsi="Times New Roman" w:eastAsia="方正仿宋简体" w:cs="Times New Roman"/>
          <w:bCs/>
          <w:color w:val="auto"/>
          <w:sz w:val="32"/>
          <w:szCs w:val="32"/>
        </w:rPr>
        <w:t>年12月31日，本部门拥有</w:t>
      </w:r>
      <w:r>
        <w:rPr>
          <w:rFonts w:hint="default" w:ascii="Times New Roman" w:hAnsi="Times New Roman" w:eastAsia="方正仿宋简体" w:cs="Times New Roman"/>
          <w:color w:val="auto"/>
          <w:sz w:val="32"/>
          <w:szCs w:val="32"/>
        </w:rPr>
        <w:t>房屋面积</w:t>
      </w:r>
      <w:r>
        <w:rPr>
          <w:rFonts w:hint="default" w:ascii="Times New Roman" w:hAnsi="Times New Roman" w:eastAsia="方正仿宋简体" w:cs="Times New Roman"/>
          <w:color w:val="auto"/>
          <w:sz w:val="32"/>
          <w:szCs w:val="32"/>
          <w:lang w:val="en-US" w:eastAsia="zh-CN"/>
        </w:rPr>
        <w:t>4859.76</w:t>
      </w:r>
      <w:r>
        <w:rPr>
          <w:rFonts w:hint="default" w:ascii="Times New Roman" w:hAnsi="Times New Roman" w:eastAsia="方正仿宋简体" w:cs="Times New Roman"/>
          <w:color w:val="auto"/>
          <w:sz w:val="32"/>
          <w:szCs w:val="32"/>
        </w:rPr>
        <w:t>平方米</w:t>
      </w:r>
      <w:r>
        <w:rPr>
          <w:rFonts w:hint="default" w:ascii="Times New Roman" w:hAnsi="Times New Roman" w:eastAsia="方正仿宋简体" w:cs="Times New Roman"/>
          <w:color w:val="auto"/>
          <w:sz w:val="32"/>
          <w:szCs w:val="32"/>
          <w:lang w:eastAsia="zh-CN"/>
        </w:rPr>
        <w:t>。</w:t>
      </w:r>
    </w:p>
    <w:p w14:paraId="3A86D2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rPr>
        <w:t>本部门共有车辆</w:t>
      </w:r>
      <w:r>
        <w:rPr>
          <w:rFonts w:hint="default" w:ascii="Times New Roman" w:hAnsi="Times New Roman" w:eastAsia="方正仿宋简体" w:cs="Times New Roman"/>
          <w:color w:val="auto"/>
          <w:sz w:val="32"/>
          <w:szCs w:val="32"/>
          <w:lang w:val="en-US" w:eastAsia="zh-CN"/>
        </w:rPr>
        <w:t>8</w:t>
      </w:r>
      <w:r>
        <w:rPr>
          <w:rFonts w:hint="default" w:ascii="Times New Roman" w:hAnsi="Times New Roman" w:eastAsia="方正仿宋简体" w:cs="Times New Roman"/>
          <w:color w:val="auto"/>
          <w:sz w:val="32"/>
          <w:szCs w:val="32"/>
        </w:rPr>
        <w:t>辆，其中，副部（省）级及以上领导用车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辆、主要负责人用车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辆、机要通信用车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辆、应急保障用车</w:t>
      </w:r>
      <w:r>
        <w:rPr>
          <w:rFonts w:hint="default" w:ascii="Times New Roman" w:hAnsi="Times New Roman" w:eastAsia="方正仿宋简体" w:cs="Times New Roman"/>
          <w:color w:val="auto"/>
          <w:sz w:val="32"/>
          <w:szCs w:val="32"/>
          <w:lang w:val="en-US" w:eastAsia="zh-CN"/>
        </w:rPr>
        <w:t>3</w:t>
      </w:r>
      <w:r>
        <w:rPr>
          <w:rFonts w:hint="default" w:ascii="Times New Roman" w:hAnsi="Times New Roman" w:eastAsia="方正仿宋简体" w:cs="Times New Roman"/>
          <w:color w:val="auto"/>
          <w:sz w:val="32"/>
          <w:szCs w:val="32"/>
        </w:rPr>
        <w:t>辆、执法执勤用车</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辆、特种专业技术用车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辆、离退休干部服务用车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辆、其他用车</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辆。</w:t>
      </w:r>
      <w:r>
        <w:rPr>
          <w:rFonts w:hint="default" w:ascii="Times New Roman" w:hAnsi="Times New Roman" w:eastAsia="方正仿宋简体" w:cs="Times New Roman"/>
          <w:color w:val="auto"/>
          <w:sz w:val="32"/>
          <w:szCs w:val="32"/>
          <w:lang w:val="en-US" w:eastAsia="zh-CN"/>
        </w:rPr>
        <w:t xml:space="preserve">     </w:t>
      </w:r>
    </w:p>
    <w:p w14:paraId="2D4DB0E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单价100万元（含）以上设备（不含车辆）</w:t>
      </w:r>
      <w:r>
        <w:rPr>
          <w:rFonts w:hint="default" w:ascii="Times New Roman" w:hAnsi="Times New Roman" w:eastAsia="方正仿宋简体" w:cs="Times New Roman"/>
          <w:color w:val="auto"/>
          <w:sz w:val="32"/>
          <w:szCs w:val="32"/>
          <w:lang w:val="en-US" w:eastAsia="zh-CN"/>
        </w:rPr>
        <w:t>0</w:t>
      </w:r>
      <w:r>
        <w:rPr>
          <w:rFonts w:hint="default" w:ascii="Times New Roman" w:hAnsi="Times New Roman" w:eastAsia="方正仿宋简体" w:cs="Times New Roman"/>
          <w:color w:val="auto"/>
          <w:sz w:val="32"/>
          <w:szCs w:val="32"/>
        </w:rPr>
        <w:t>台（套）。</w:t>
      </w:r>
    </w:p>
    <w:p w14:paraId="57DFF0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（注：上述国有资产占用情况相关数</w:t>
      </w:r>
      <w:r>
        <w:rPr>
          <w:rFonts w:hint="default" w:ascii="Times New Roman" w:hAnsi="Times New Roman" w:eastAsia="方正仿宋简体" w:cs="Times New Roman"/>
          <w:color w:val="auto"/>
          <w:sz w:val="32"/>
          <w:szCs w:val="32"/>
          <w:lang w:val="en-US" w:eastAsia="zh-CN"/>
        </w:rPr>
        <w:t>据</w:t>
      </w:r>
      <w:r>
        <w:rPr>
          <w:rFonts w:hint="default" w:ascii="Times New Roman" w:hAnsi="Times New Roman" w:eastAsia="方正仿宋简体" w:cs="Times New Roman"/>
          <w:color w:val="auto"/>
          <w:sz w:val="32"/>
          <w:szCs w:val="32"/>
        </w:rPr>
        <w:t>取自</w:t>
      </w:r>
      <w:r>
        <w:rPr>
          <w:rFonts w:hint="default" w:ascii="Times New Roman" w:hAnsi="Times New Roman" w:eastAsia="方正仿宋简体" w:cs="Times New Roman"/>
          <w:color w:val="auto"/>
          <w:sz w:val="32"/>
          <w:szCs w:val="32"/>
          <w:lang w:val="en-US"/>
        </w:rPr>
        <w:t>202</w:t>
      </w:r>
      <w:r>
        <w:rPr>
          <w:rFonts w:hint="default" w:ascii="Times New Roman" w:hAnsi="Times New Roman" w:eastAsia="方正仿宋简体" w:cs="Times New Roman"/>
          <w:color w:val="auto"/>
          <w:sz w:val="32"/>
          <w:szCs w:val="32"/>
          <w:lang w:val="en-US" w:eastAsia="zh-CN"/>
        </w:rPr>
        <w:t>5</w:t>
      </w:r>
      <w:r>
        <w:rPr>
          <w:rFonts w:hint="default" w:ascii="Times New Roman" w:hAnsi="Times New Roman" w:eastAsia="方正仿宋简体" w:cs="Times New Roman"/>
          <w:color w:val="auto"/>
          <w:sz w:val="32"/>
          <w:szCs w:val="32"/>
        </w:rPr>
        <w:t>年度部门决算F0</w:t>
      </w:r>
      <w:r>
        <w:rPr>
          <w:rFonts w:hint="default" w:ascii="Times New Roman" w:hAnsi="Times New Roman" w:eastAsia="方正仿宋简体" w:cs="Times New Roman"/>
          <w:color w:val="auto"/>
          <w:sz w:val="32"/>
          <w:szCs w:val="32"/>
          <w:lang w:val="en-US"/>
        </w:rPr>
        <w:t>2</w:t>
      </w:r>
      <w:r>
        <w:rPr>
          <w:rFonts w:hint="default" w:ascii="Times New Roman" w:hAnsi="Times New Roman" w:eastAsia="方正仿宋简体" w:cs="Times New Roman"/>
          <w:color w:val="auto"/>
          <w:sz w:val="32"/>
          <w:szCs w:val="32"/>
        </w:rPr>
        <w:t>表《预算支出相关信息表》、F03表《机构运行信息表》。）</w:t>
      </w:r>
    </w:p>
    <w:p w14:paraId="79BE006F">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仿宋简体" w:cs="Times New Roman"/>
          <w:color w:val="auto"/>
          <w:sz w:val="32"/>
          <w:szCs w:val="32"/>
        </w:rPr>
      </w:pPr>
      <w:bookmarkStart w:id="115" w:name="_Toc4398_WPSOffice_Level1"/>
      <w:bookmarkStart w:id="116" w:name="_Toc11039_WPSOffice_Level1"/>
      <w:bookmarkStart w:id="117" w:name="_Toc17580_WPSOffice_Level1"/>
      <w:bookmarkStart w:id="118" w:name="_Toc15425_WPSOffice_Level1"/>
      <w:bookmarkStart w:id="119" w:name="_Toc8874_WPSOffice_Level1"/>
      <w:bookmarkStart w:id="120" w:name="_Toc8808_WPSOffice_Level1"/>
    </w:p>
    <w:p w14:paraId="1030D21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小标宋简体" w:cs="Times New Roman"/>
          <w:color w:val="auto"/>
          <w:sz w:val="32"/>
          <w:szCs w:val="32"/>
        </w:rPr>
        <w:t>第四部分  名词解释</w:t>
      </w:r>
      <w:bookmarkEnd w:id="115"/>
      <w:bookmarkEnd w:id="116"/>
      <w:bookmarkEnd w:id="117"/>
      <w:bookmarkEnd w:id="118"/>
      <w:bookmarkEnd w:id="119"/>
      <w:bookmarkEnd w:id="120"/>
    </w:p>
    <w:p w14:paraId="62D4C438">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10" w:leftChars="0" w:firstLine="640" w:firstLineChars="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财政拨款收入：指同级政府财政部门当年拨付的各类财政拨款。</w:t>
      </w:r>
    </w:p>
    <w:p w14:paraId="27AFF7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二、上级补助收入：指事业单位从主管部门和上级单位取得的非财政补助收入。</w:t>
      </w:r>
    </w:p>
    <w:p w14:paraId="31BC5A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三、事业收入：指事业单位开展专业业务活动及辅助活动取得的收入。</w:t>
      </w:r>
    </w:p>
    <w:p w14:paraId="1E9E2E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四、经营收入：指事业单位在专业业务活动及其辅助活动之外开展非独立核算经营活动取得的收入。</w:t>
      </w:r>
    </w:p>
    <w:p w14:paraId="5AC787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五、附属单位上缴收入：指事业单位取得附属独立核算单位根据有关规定上缴的收入。</w:t>
      </w:r>
    </w:p>
    <w:p w14:paraId="1DA2BF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六、其他收入：指除上述“财政拨款收入”“事业收入”“上级补助收入”“经营收入”“附属单位上缴收入”等以外的收入。</w:t>
      </w:r>
    </w:p>
    <w:p w14:paraId="25D83E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七、使用非财政拨款结余：指事业单位在当年的“财政拨款收入”“事业收入”“经营收入”“其他收入”等不足以安排当年支出的情况下，使用非同级财政拨款结余资金弥补本年度收支缺口。</w:t>
      </w:r>
    </w:p>
    <w:p w14:paraId="32FBCB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八、年初结转和结余：指以前年度尚未完成、结转到本年按有关规定继续使用的资金，或项目已完成等产生的结余资金。</w:t>
      </w:r>
    </w:p>
    <w:p w14:paraId="70FA65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九、结余分配：指事业单位缴纳企业所得税以及从非财政拨款结余或经营结余中提取各类结余的情况。</w:t>
      </w:r>
    </w:p>
    <w:p w14:paraId="1832BB0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01302B8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十一、基本支出：指为保障机构正常运转、完成日常工作任务而发生的人员支出和公用支出。</w:t>
      </w:r>
    </w:p>
    <w:p w14:paraId="7DE8B08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十二、项目支出：指在基本支出之外为完成特定行政任务和事业发展目标所发生的支出。</w:t>
      </w:r>
    </w:p>
    <w:p w14:paraId="0FFCE4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十三、经营支出：指事业单位在专业业务活动及其辅助活动之外开展非独立核算经营活动发生的支出。</w:t>
      </w:r>
    </w:p>
    <w:p w14:paraId="436DA1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77BD79BC">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454BE8D1">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十六、支出功能分类：</w:t>
      </w:r>
    </w:p>
    <w:p w14:paraId="5BFD82A5">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41C401DD">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十六、</w:t>
      </w:r>
      <w:r>
        <w:rPr>
          <w:rFonts w:hint="default" w:ascii="Times New Roman" w:hAnsi="Times New Roman" w:eastAsia="仿宋_GB2312" w:cs="Times New Roman"/>
          <w:color w:val="000000" w:themeColor="text1"/>
          <w:sz w:val="32"/>
          <w:szCs w:val="32"/>
          <w14:textFill>
            <w14:solidFill>
              <w14:schemeClr w14:val="tx1"/>
            </w14:solidFill>
          </w14:textFill>
        </w:rPr>
        <w:t>支出功能分类：</w:t>
      </w:r>
    </w:p>
    <w:p w14:paraId="241DB518">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类</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20405（款）2040501</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公共安全支出类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法院</w:t>
      </w:r>
      <w:r>
        <w:rPr>
          <w:rFonts w:hint="default" w:ascii="Times New Roman" w:hAnsi="Times New Roman" w:eastAsia="仿宋_GB2312" w:cs="Times New Roman"/>
          <w:color w:val="000000" w:themeColor="text1"/>
          <w:sz w:val="32"/>
          <w:szCs w:val="32"/>
          <w14:textFill>
            <w14:solidFill>
              <w14:schemeClr w14:val="tx1"/>
            </w14:solidFill>
          </w14:textFill>
        </w:rPr>
        <w:t>行政运行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，反映行政单位（包括实行公务员管理的事业单位）的基本支出。</w:t>
      </w:r>
    </w:p>
    <w:p w14:paraId="3E1F0A8E">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20405</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2040506</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公共安全支出类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法院</w:t>
      </w:r>
      <w:r>
        <w:rPr>
          <w:rFonts w:hint="default" w:ascii="Times New Roman" w:hAnsi="Times New Roman" w:eastAsia="仿宋_GB2312" w:cs="Times New Roman"/>
          <w:color w:val="000000" w:themeColor="text1"/>
          <w:sz w:val="32"/>
          <w:szCs w:val="32"/>
          <w14:textFill>
            <w14:solidFill>
              <w14:schemeClr w14:val="tx1"/>
            </w14:solidFill>
          </w14:textFill>
        </w:rPr>
        <w:t>“两庭”建设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，反映人民法院审判用房、人民法庭用房、刑场建设维修和建设设备购置，以及审判庭安全监控设备购置及运行管理支出。</w:t>
      </w:r>
    </w:p>
    <w:p w14:paraId="51CF2464">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20405</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2040599</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公共安全支出类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法院其他法院支出，反映除上述项目以外其他用于法院方面的支出。</w:t>
      </w:r>
    </w:p>
    <w:p w14:paraId="610210D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208（类）20805（款）2080505（项）：社会保障和就业支出类行政事业单位养老支出机关事业单位基本养老保险费支出，反映机关事业单位实施养老保险制度由单位缴纳的基本养老保险费支出。</w:t>
      </w:r>
    </w:p>
    <w:p w14:paraId="5073F245">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2101101</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：卫生健康支出类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单位医疗行政单位医疗，反映财政部门安排的行政单位（包括实行公务员管理的事业单位）基本医疗保险缴费经费，未参加医疗保险的行政单位的公费医疗经费，按照国家规定享受离休人员、红军老战士待遇人员的医疗经费。</w:t>
      </w:r>
    </w:p>
    <w:p w14:paraId="21E5FB91">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2101103</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：卫生健康支出类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行政单位医疗公务员医疗补助，反映财政部门安排的公务员医疗补助经费。</w:t>
      </w:r>
    </w:p>
    <w:p w14:paraId="17CB4E58">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2101199</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：卫生健康支出类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行政单位医疗</w:t>
      </w:r>
      <w:r>
        <w:rPr>
          <w:rFonts w:hint="default" w:ascii="Times New Roman" w:hAnsi="Times New Roman" w:eastAsia="仿宋_GB2312" w:cs="Times New Roman"/>
          <w:color w:val="000000" w:themeColor="text1"/>
          <w:sz w:val="32"/>
          <w:szCs w:val="32"/>
          <w14:textFill>
            <w14:solidFill>
              <w14:schemeClr w14:val="tx1"/>
            </w14:solidFill>
          </w14:textFill>
        </w:rPr>
        <w:t>其他行政事业单位医疗支出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，反映除上述项目以外的其他用于行政事业单位医疗方面的支出。</w:t>
      </w:r>
    </w:p>
    <w:p w14:paraId="02462CB8">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221</w:t>
      </w:r>
      <w:r>
        <w:rPr>
          <w:rFonts w:hint="default" w:ascii="Times New Roman" w:hAnsi="Times New Roman" w:eastAsia="仿宋_GB2312" w:cs="Times New Roman"/>
          <w:color w:val="000000" w:themeColor="text1"/>
          <w:sz w:val="32"/>
          <w:szCs w:val="32"/>
          <w14:textFill>
            <w14:solidFill>
              <w14:schemeClr w14:val="tx1"/>
            </w14:solidFill>
          </w14:textFill>
        </w:rPr>
        <w:t>（类）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22102</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2210201</w:t>
      </w:r>
      <w:r>
        <w:rPr>
          <w:rFonts w:hint="default" w:ascii="Times New Roman" w:hAnsi="Times New Roman" w:eastAsia="仿宋_GB2312" w:cs="Times New Roman"/>
          <w:color w:val="000000" w:themeColor="text1"/>
          <w:sz w:val="32"/>
          <w:szCs w:val="32"/>
          <w14:textFill>
            <w14:solidFill>
              <w14:schemeClr w14:val="tx1"/>
            </w14:solidFill>
          </w14:textFill>
        </w:rPr>
        <w:t>（项），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住房保障支出类住房改革支出</w:t>
      </w:r>
      <w:r>
        <w:rPr>
          <w:rFonts w:hint="default" w:ascii="Times New Roman" w:hAnsi="Times New Roman" w:eastAsia="仿宋_GB2312" w:cs="Times New Roman"/>
          <w:color w:val="000000" w:themeColor="text1"/>
          <w:sz w:val="32"/>
          <w:szCs w:val="32"/>
          <w14:textFill>
            <w14:solidFill>
              <w14:schemeClr w14:val="tx1"/>
            </w14:solidFill>
          </w14:textFill>
        </w:rPr>
        <w:t>住房公积金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：反映行政事业单位按人力资源和社会保障部、财政部规定的基本工资和津贴补贴以及规定比例为职工缴纳的住房公积金。</w:t>
      </w:r>
    </w:p>
    <w:p w14:paraId="5EC543E5">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方正仿宋简体" w:cs="Times New Roman"/>
          <w:color w:val="auto"/>
        </w:rPr>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altName w:val="方正楷体_GBK"/>
    <w:panose1 w:val="03000509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ˎ̥">
    <w:altName w:val="思源宋体"/>
    <w:panose1 w:val="00000000000000000000"/>
    <w:charset w:val="00"/>
    <w:family w:val="roman"/>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87A80">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18</w:t>
    </w:r>
    <w:r>
      <w:fldChar w:fldCharType="end"/>
    </w:r>
  </w:p>
  <w:p w14:paraId="4F0A2B5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4CAFE">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14:paraId="3BDB5DA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pPr>
        <w:ind w:left="-10"/>
      </w:pPr>
      <w:rPr>
        <w:rFonts w:hint="eastAsia"/>
      </w:rPr>
    </w:lvl>
  </w:abstractNum>
  <w:abstractNum w:abstractNumId="1">
    <w:nsid w:val="5F92524C"/>
    <w:multiLevelType w:val="singleLevel"/>
    <w:tmpl w:val="5F92524C"/>
    <w:lvl w:ilvl="0" w:tentative="0">
      <w:start w:val="1"/>
      <w:numFmt w:val="chineseCounting"/>
      <w:suff w:val="nothing"/>
      <w:lvlText w:val="%1、"/>
      <w:lvlJc w:val="left"/>
      <w:rPr>
        <w:rFonts w:hint="eastAsia"/>
      </w:r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1BA2228"/>
    <w:rsid w:val="024818C9"/>
    <w:rsid w:val="05085485"/>
    <w:rsid w:val="054D53A2"/>
    <w:rsid w:val="06494CBB"/>
    <w:rsid w:val="064E347A"/>
    <w:rsid w:val="07035F04"/>
    <w:rsid w:val="08FF381F"/>
    <w:rsid w:val="09201287"/>
    <w:rsid w:val="09216B15"/>
    <w:rsid w:val="09594501"/>
    <w:rsid w:val="09E94DBE"/>
    <w:rsid w:val="0BB7550F"/>
    <w:rsid w:val="0C605BA6"/>
    <w:rsid w:val="0C667B97"/>
    <w:rsid w:val="0CA23AC9"/>
    <w:rsid w:val="0D101680"/>
    <w:rsid w:val="0DC92092"/>
    <w:rsid w:val="0FC80124"/>
    <w:rsid w:val="10015206"/>
    <w:rsid w:val="10565EB7"/>
    <w:rsid w:val="11744359"/>
    <w:rsid w:val="11E06E41"/>
    <w:rsid w:val="127F6D3F"/>
    <w:rsid w:val="136F98C7"/>
    <w:rsid w:val="138E7769"/>
    <w:rsid w:val="17427E68"/>
    <w:rsid w:val="1755065F"/>
    <w:rsid w:val="179004AF"/>
    <w:rsid w:val="181B2D53"/>
    <w:rsid w:val="1894638C"/>
    <w:rsid w:val="18987356"/>
    <w:rsid w:val="18CB084B"/>
    <w:rsid w:val="194F322A"/>
    <w:rsid w:val="1AFC29C9"/>
    <w:rsid w:val="1CA52F2E"/>
    <w:rsid w:val="1DFE370B"/>
    <w:rsid w:val="1E3630B9"/>
    <w:rsid w:val="1F614F46"/>
    <w:rsid w:val="1FBF0227"/>
    <w:rsid w:val="20796DDF"/>
    <w:rsid w:val="20A420AE"/>
    <w:rsid w:val="20D20DF9"/>
    <w:rsid w:val="20D6350F"/>
    <w:rsid w:val="20D67D8D"/>
    <w:rsid w:val="219A0DBB"/>
    <w:rsid w:val="22DD18A7"/>
    <w:rsid w:val="23503E27"/>
    <w:rsid w:val="23A54119"/>
    <w:rsid w:val="23DD028C"/>
    <w:rsid w:val="23DF4065"/>
    <w:rsid w:val="25487456"/>
    <w:rsid w:val="25DA520F"/>
    <w:rsid w:val="26EEC2B5"/>
    <w:rsid w:val="2806718A"/>
    <w:rsid w:val="28123A6A"/>
    <w:rsid w:val="28DC43AF"/>
    <w:rsid w:val="29472309"/>
    <w:rsid w:val="2B406E77"/>
    <w:rsid w:val="2B5C5333"/>
    <w:rsid w:val="2BF548E9"/>
    <w:rsid w:val="2C2A0C43"/>
    <w:rsid w:val="2D1E73A5"/>
    <w:rsid w:val="2E307E6D"/>
    <w:rsid w:val="2E353F6A"/>
    <w:rsid w:val="2F870159"/>
    <w:rsid w:val="2FD23E16"/>
    <w:rsid w:val="2FE34275"/>
    <w:rsid w:val="32717154"/>
    <w:rsid w:val="32D163E5"/>
    <w:rsid w:val="341859E6"/>
    <w:rsid w:val="345E6795"/>
    <w:rsid w:val="34B63260"/>
    <w:rsid w:val="34F36D08"/>
    <w:rsid w:val="357B2200"/>
    <w:rsid w:val="359C5A16"/>
    <w:rsid w:val="364A6DFC"/>
    <w:rsid w:val="37FDA7E2"/>
    <w:rsid w:val="3868184D"/>
    <w:rsid w:val="39495149"/>
    <w:rsid w:val="399244C7"/>
    <w:rsid w:val="3A314D88"/>
    <w:rsid w:val="3A746883"/>
    <w:rsid w:val="3B697D24"/>
    <w:rsid w:val="3CA15DE9"/>
    <w:rsid w:val="3CFF7CCC"/>
    <w:rsid w:val="3EDA2827"/>
    <w:rsid w:val="3FE61EE5"/>
    <w:rsid w:val="406508EE"/>
    <w:rsid w:val="408D6263"/>
    <w:rsid w:val="40E02836"/>
    <w:rsid w:val="417C06C5"/>
    <w:rsid w:val="41B40CEE"/>
    <w:rsid w:val="41D8350E"/>
    <w:rsid w:val="43EF2D90"/>
    <w:rsid w:val="44132A11"/>
    <w:rsid w:val="444255B6"/>
    <w:rsid w:val="44B813D4"/>
    <w:rsid w:val="457919AE"/>
    <w:rsid w:val="477E4B57"/>
    <w:rsid w:val="48317291"/>
    <w:rsid w:val="485F7024"/>
    <w:rsid w:val="489317F8"/>
    <w:rsid w:val="48B22EB4"/>
    <w:rsid w:val="48E70666"/>
    <w:rsid w:val="49A3104C"/>
    <w:rsid w:val="49D01B8E"/>
    <w:rsid w:val="4A615D9D"/>
    <w:rsid w:val="4B676661"/>
    <w:rsid w:val="4B726F23"/>
    <w:rsid w:val="4BA66D73"/>
    <w:rsid w:val="4C6877E5"/>
    <w:rsid w:val="4D6A468D"/>
    <w:rsid w:val="4E45017D"/>
    <w:rsid w:val="4EA86137"/>
    <w:rsid w:val="4EE22E6C"/>
    <w:rsid w:val="50306C0B"/>
    <w:rsid w:val="51BA2C30"/>
    <w:rsid w:val="52081BED"/>
    <w:rsid w:val="547F7206"/>
    <w:rsid w:val="54D2203E"/>
    <w:rsid w:val="557650C0"/>
    <w:rsid w:val="5583158B"/>
    <w:rsid w:val="55C4407D"/>
    <w:rsid w:val="56312D95"/>
    <w:rsid w:val="56CA7FD0"/>
    <w:rsid w:val="573E39BB"/>
    <w:rsid w:val="57543543"/>
    <w:rsid w:val="57E00F16"/>
    <w:rsid w:val="57FA38D1"/>
    <w:rsid w:val="5D3A4F79"/>
    <w:rsid w:val="5D3E0F64"/>
    <w:rsid w:val="5E7128C8"/>
    <w:rsid w:val="5E9640DD"/>
    <w:rsid w:val="5F6C322E"/>
    <w:rsid w:val="5F7D3333"/>
    <w:rsid w:val="61385890"/>
    <w:rsid w:val="623F516A"/>
    <w:rsid w:val="6504510C"/>
    <w:rsid w:val="652411BC"/>
    <w:rsid w:val="67A26A12"/>
    <w:rsid w:val="6850354E"/>
    <w:rsid w:val="687436E1"/>
    <w:rsid w:val="69CE5072"/>
    <w:rsid w:val="6B361387"/>
    <w:rsid w:val="6D748386"/>
    <w:rsid w:val="6DA45C50"/>
    <w:rsid w:val="6DFC3C4F"/>
    <w:rsid w:val="6E1724C4"/>
    <w:rsid w:val="6E9A7825"/>
    <w:rsid w:val="6EB909C3"/>
    <w:rsid w:val="6F670F9B"/>
    <w:rsid w:val="6F7B2CB8"/>
    <w:rsid w:val="7328648D"/>
    <w:rsid w:val="737450E0"/>
    <w:rsid w:val="7396420C"/>
    <w:rsid w:val="74054476"/>
    <w:rsid w:val="742F38C4"/>
    <w:rsid w:val="74AB66DC"/>
    <w:rsid w:val="74C4154C"/>
    <w:rsid w:val="75956FFF"/>
    <w:rsid w:val="75A44ED9"/>
    <w:rsid w:val="75CB06B8"/>
    <w:rsid w:val="76C21ABB"/>
    <w:rsid w:val="77AA2D01"/>
    <w:rsid w:val="7AD63D87"/>
    <w:rsid w:val="7AED1BCD"/>
    <w:rsid w:val="7CDE1DBD"/>
    <w:rsid w:val="7D943A85"/>
    <w:rsid w:val="7DB0448C"/>
    <w:rsid w:val="7E5F9AA4"/>
    <w:rsid w:val="7F3929CB"/>
    <w:rsid w:val="8FFC8888"/>
    <w:rsid w:val="A7F73C99"/>
    <w:rsid w:val="BE37124A"/>
    <w:rsid w:val="BFFE3BF4"/>
    <w:rsid w:val="DFEBDA37"/>
    <w:rsid w:val="EB42DE24"/>
    <w:rsid w:val="EF6FCA1D"/>
    <w:rsid w:val="EFFF57D6"/>
    <w:rsid w:val="FD33A2D0"/>
    <w:rsid w:val="FF7FA20F"/>
    <w:rsid w:val="FFE8F1AB"/>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6488</Words>
  <Characters>7238</Characters>
  <Lines>67</Lines>
  <Paragraphs>18</Paragraphs>
  <TotalTime>35</TotalTime>
  <ScaleCrop>false</ScaleCrop>
  <LinksUpToDate>false</LinksUpToDate>
  <CharactersWithSpaces>7314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2024-07-24T11:26:00Z</dcterms:created>
  <dc:creator>uos</dc:creator>
  <cp:lastModifiedBy>huawei</cp:lastModifiedBy>
  <cp:lastPrinted>2023-08-03T08:58:00Z</cp:lastPrinted>
  <dcterms:modified xsi:type="dcterms:W3CDTF">2026-08-03T16:36:34Z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1C7951CF65714992A1523365C48DE27E</vt:lpwstr>
  </property>
  <property fmtid="{D5CDD505-2E9C-101B-9397-08002B2CF9AE}" pid="4" name="KSOTemplateDocerSaveRecord">
    <vt:lpwstr>eyJoZGlkIjoiY2VlZThlZDk5ZTQ4MTFjNGY3MjIxNTdiOWMzZmQwMWMiLCJ1c2VySWQiOiIyMzQ5MTc1OTYifQ==</vt:lpwstr>
  </property>
</Properties>
</file>