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比如县人民检察院机关</w:t>
      </w:r>
      <w:r>
        <w:rPr>
          <w:rFonts w:hint="default" w:asciiTheme="majorEastAsia" w:hAnsiTheme="majorEastAsia" w:eastAsiaTheme="majorEastAsia" w:cstheme="majorEastAsia"/>
          <w:b/>
          <w:bCs/>
          <w:sz w:val="44"/>
          <w:szCs w:val="44"/>
          <w:lang w:val="en-US"/>
        </w:rPr>
        <w:t>2025</w:t>
      </w:r>
      <w:r>
        <w:rPr>
          <w:rFonts w:hint="eastAsia" w:asciiTheme="majorEastAsia" w:hAnsiTheme="majorEastAsia" w:eastAsiaTheme="majorEastAsia" w:cstheme="majorEastAsia"/>
          <w:b/>
          <w:bCs/>
          <w:sz w:val="44"/>
          <w:szCs w:val="44"/>
        </w:rPr>
        <w:t>年度</w:t>
      </w:r>
    </w:p>
    <w:p>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部门决算公开报告</w:t>
      </w:r>
    </w:p>
    <w:p>
      <w:pPr>
        <w:spacing w:line="578" w:lineRule="exact"/>
        <w:jc w:val="center"/>
        <w:rPr>
          <w:rFonts w:hint="eastAsia" w:ascii="黑体" w:hAnsi="ˎ̥" w:eastAsia="黑体"/>
          <w:b/>
          <w:sz w:val="32"/>
          <w:szCs w:val="32"/>
        </w:rPr>
      </w:pPr>
    </w:p>
    <w:p>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2025</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1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pPr>
        <w:pStyle w:val="1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13</w:t>
      </w:r>
    </w:p>
    <w:p>
      <w:pPr>
        <w:pStyle w:val="15"/>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rPr>
        <w:t>5</w:t>
      </w:r>
    </w:p>
    <w:p>
      <w:pPr>
        <w:spacing w:line="578" w:lineRule="exact"/>
        <w:jc w:val="both"/>
        <w:rPr>
          <w:rFonts w:hint="eastAsia" w:ascii="黑体" w:hAnsi="ˎ̥" w:eastAsia="黑体"/>
          <w:sz w:val="32"/>
          <w:szCs w:val="32"/>
        </w:rPr>
      </w:pPr>
      <w:bookmarkStart w:id="2" w:name="_Toc10049_WPSOffice_Level1"/>
      <w:bookmarkStart w:id="3" w:name="_Toc10720_WPSOffice_Level1"/>
      <w:bookmarkStart w:id="4" w:name="_Toc22941_WPSOffice_Level1"/>
      <w:bookmarkStart w:id="5" w:name="_Toc32433_WPSOffice_Level1"/>
      <w:bookmarkStart w:id="6" w:name="_Toc23465_WPSOffice_Level1"/>
      <w:bookmarkStart w:id="7" w:name="_Toc1704_WPSOffice_Level1"/>
      <w:bookmarkStart w:id="8" w:name="_Toc24238_WPSOffice_Level2"/>
      <w:bookmarkStart w:id="9" w:name="_Toc20205_WPSOffice_Level2"/>
      <w:bookmarkStart w:id="10" w:name="_Toc20274_WPSOffice_Level2"/>
      <w:bookmarkStart w:id="11" w:name="_Toc14159_WPSOffice_Level2"/>
      <w:bookmarkStart w:id="12" w:name="_Toc32622_WPSOffice_Level2"/>
      <w:bookmarkStart w:id="13" w:name="_Toc26580_WPSOffice_Level2"/>
    </w:p>
    <w:p>
      <w:pPr>
        <w:spacing w:line="578" w:lineRule="exact"/>
        <w:jc w:val="both"/>
        <w:rPr>
          <w:rFonts w:hint="eastAsia" w:ascii="黑体" w:hAnsi="ˎ̥" w:eastAsia="黑体"/>
          <w:sz w:val="32"/>
          <w:szCs w:val="32"/>
        </w:rPr>
      </w:pPr>
    </w:p>
    <w:p>
      <w:pPr>
        <w:spacing w:line="578" w:lineRule="exact"/>
        <w:jc w:val="both"/>
        <w:rPr>
          <w:rFonts w:hint="eastAsia" w:ascii="黑体" w:hAnsi="ˎ̥" w:eastAsia="黑体"/>
          <w:sz w:val="32"/>
          <w:szCs w:val="32"/>
        </w:rPr>
      </w:pPr>
    </w:p>
    <w:p>
      <w:pPr>
        <w:spacing w:line="578" w:lineRule="exact"/>
        <w:jc w:val="both"/>
        <w:rPr>
          <w:rFonts w:hint="eastAsia" w:ascii="黑体" w:hAnsi="ˎ̥" w:eastAsia="黑体"/>
          <w:sz w:val="32"/>
          <w:szCs w:val="32"/>
        </w:rPr>
      </w:pPr>
    </w:p>
    <w:p>
      <w:pPr>
        <w:spacing w:line="578" w:lineRule="exact"/>
        <w:jc w:val="both"/>
        <w:rPr>
          <w:rFonts w:hint="eastAsia" w:ascii="黑体" w:hAnsi="ˎ̥" w:eastAsia="黑体"/>
          <w:sz w:val="32"/>
          <w:szCs w:val="32"/>
        </w:rPr>
      </w:pPr>
    </w:p>
    <w:p>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pPr>
        <w:spacing w:line="578" w:lineRule="exact"/>
        <w:ind w:firstLine="640" w:firstLineChars="200"/>
        <w:rPr>
          <w:rFonts w:hint="eastAsia" w:ascii="楷体" w:hAnsi="楷体" w:eastAsia="楷体" w:cs="楷体"/>
          <w:sz w:val="32"/>
          <w:szCs w:val="32"/>
        </w:rPr>
      </w:pPr>
    </w:p>
    <w:p>
      <w:p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spacing w:line="578" w:lineRule="exact"/>
        <w:ind w:firstLine="640" w:firstLineChars="200"/>
        <w:rPr>
          <w:rFonts w:hint="eastAsia" w:ascii="黑体" w:hAnsi="黑体" w:eastAsia="黑体" w:cs="黑体"/>
          <w:sz w:val="32"/>
          <w:szCs w:val="32"/>
        </w:rPr>
      </w:pPr>
      <w:bookmarkStart w:id="14" w:name="_Toc24474_WPSOffice_Level2"/>
      <w:bookmarkStart w:id="15" w:name="_Toc4833_WPSOffice_Level2"/>
      <w:bookmarkStart w:id="16" w:name="_Toc24059_WPSOffice_Level2"/>
      <w:bookmarkStart w:id="17" w:name="_Toc6572_WPSOffice_Level2"/>
      <w:bookmarkStart w:id="18" w:name="_Toc17796_WPSOffice_Level2"/>
      <w:r>
        <w:rPr>
          <w:rFonts w:hint="eastAsia" w:ascii="黑体" w:hAnsi="黑体" w:eastAsia="黑体" w:cs="黑体"/>
          <w:sz w:val="32"/>
          <w:szCs w:val="32"/>
        </w:rPr>
        <w:t>二、机构设置</w:t>
      </w:r>
      <w:bookmarkEnd w:id="14"/>
      <w:bookmarkEnd w:id="15"/>
      <w:bookmarkEnd w:id="16"/>
      <w:bookmarkEnd w:id="17"/>
      <w:bookmarkEnd w:id="18"/>
    </w:p>
    <w:p>
      <w:pPr>
        <w:autoSpaceDE w:val="0"/>
        <w:autoSpaceDN w:val="0"/>
        <w:spacing w:before="0" w:after="0" w:line="653" w:lineRule="exact"/>
        <w:ind w:right="580" w:firstLine="720"/>
        <w:jc w:val="both"/>
        <w:rPr>
          <w:rFonts w:hint="eastAsia" w:ascii="仿宋_GB2312" w:hAnsi="ˎ̥" w:eastAsia="仿宋_GB2312"/>
          <w:sz w:val="32"/>
          <w:szCs w:val="32"/>
        </w:rPr>
      </w:pPr>
      <w:r>
        <w:rPr>
          <w:rFonts w:hint="eastAsia" w:ascii="仿宋_GB2312" w:hAnsi="ˎ̥" w:eastAsia="仿宋_GB2312"/>
          <w:sz w:val="32"/>
          <w:szCs w:val="32"/>
        </w:rPr>
        <w:t>人员编制20人，行政人员编制20人，机关工人编制2人。无事业编制。2025年，我院在职职工19人，其中：副县级干部2人、正科级干部6人，副科级干部9人，科员级干部2人，事业干部0人；退休干部0人；机关工人</w:t>
      </w:r>
      <w:bookmarkStart w:id="119" w:name="_GoBack"/>
      <w:bookmarkEnd w:id="119"/>
      <w:r>
        <w:rPr>
          <w:rFonts w:hint="eastAsia" w:ascii="仿宋_GB2312" w:hAnsi="ˎ̥" w:eastAsia="仿宋_GB2312"/>
          <w:sz w:val="32"/>
          <w:szCs w:val="32"/>
        </w:rPr>
        <w:t>2人、聘用制书记员5名，临时工5人。</w:t>
      </w:r>
    </w:p>
    <w:p>
      <w:pPr>
        <w:autoSpaceDE w:val="0"/>
        <w:autoSpaceDN w:val="0"/>
        <w:spacing w:before="0" w:after="0" w:line="653" w:lineRule="exact"/>
        <w:ind w:right="580" w:firstLine="720"/>
        <w:jc w:val="both"/>
        <w:rPr>
          <w:rFonts w:hint="eastAsia" w:ascii="仿宋_GB2312" w:hAnsi="ˎ̥" w:eastAsia="仿宋_GB2312"/>
          <w:sz w:val="32"/>
          <w:szCs w:val="32"/>
        </w:rPr>
      </w:pPr>
      <w:r>
        <w:rPr>
          <w:rFonts w:hint="eastAsia" w:ascii="仿宋_GB2312" w:hAnsi="ˎ̥" w:eastAsia="仿宋_GB2312"/>
          <w:sz w:val="32"/>
          <w:szCs w:val="32"/>
        </w:rPr>
        <w:t>第一检察部。负责对法律规定对本院办理的刑事案件、未成年人犯罪和侵害未成年人犯罪案件的审查逮捕、审车起诉、出庭支持公诉、抗诉，开展相关立案监督、侦查监督、审判监督以及相关案件的补充侦查、羁押必要性审查。开展未成年人司法保护和预防未成年人犯罪工作。办理管辖的刑事相关申诉案件。</w:t>
      </w:r>
    </w:p>
    <w:p>
      <w:pPr>
        <w:autoSpaceDE w:val="0"/>
        <w:autoSpaceDN w:val="0"/>
        <w:spacing w:before="0" w:after="0" w:line="653" w:lineRule="exact"/>
        <w:ind w:right="580" w:firstLine="720"/>
        <w:jc w:val="both"/>
        <w:rPr>
          <w:rFonts w:hint="eastAsia" w:ascii="仿宋_GB2312" w:hAnsi="ˎ̥" w:eastAsia="仿宋_GB2312"/>
          <w:sz w:val="32"/>
          <w:szCs w:val="32"/>
        </w:rPr>
      </w:pPr>
      <w:r>
        <w:rPr>
          <w:rFonts w:hint="eastAsia" w:ascii="仿宋_GB2312" w:hAnsi="ˎ̥" w:eastAsia="仿宋_GB2312"/>
          <w:sz w:val="32"/>
          <w:szCs w:val="32"/>
        </w:rPr>
        <w:t>第二检察部。负责办理向本院申请监督和提请抗诉的民事、刑事案件的审查、抗诉。承办对人民法院民事、刑事诉讼活动的法律监督，对审判监督程序以外的其他民事、行政审判程序中审判人员的违法行为提出检察建议，对民事、行政执行活动实行法律监督。开展民事支持起诉工作。负责办理本院管辖的公益诉讼案件，派员出席法庭，依照有关规定提出检察建议。办理本院管辖的民事、行政、公益诉讼相关申诉案件。</w:t>
      </w:r>
    </w:p>
    <w:p>
      <w:pPr>
        <w:keepNext w:val="0"/>
        <w:keepLines w:val="0"/>
        <w:pageBreakBefore w:val="0"/>
        <w:widowControl w:val="0"/>
        <w:numPr>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第三检察部。负责对看守所和社区矫正机构等执法活动的监督，</w:t>
      </w:r>
      <w:r>
        <w:rPr>
          <w:rFonts w:hint="eastAsia" w:ascii="仿宋_GB2312" w:hAnsi="ˎ̥" w:eastAsia="仿宋_GB2312"/>
          <w:iCs/>
          <w:sz w:val="32"/>
          <w:szCs w:val="32"/>
        </w:rPr>
        <w:t>对刑事判决、裁定执行、强制医疗执行、挤压</w:t>
      </w:r>
      <w:r>
        <w:rPr>
          <w:rFonts w:hint="eastAsia" w:ascii="仿宋_GB2312" w:hAnsi="ˎ̥" w:eastAsia="仿宋_GB2312"/>
          <w:iCs/>
          <w:sz w:val="32"/>
          <w:szCs w:val="32"/>
          <w:lang w:eastAsia="zh-CN"/>
        </w:rPr>
        <w:t>稽。</w:t>
      </w:r>
      <w:r>
        <w:rPr>
          <w:rFonts w:hint="eastAsia" w:ascii="仿宋_GB2312" w:hAnsi="ˎ̥" w:eastAsia="仿宋_GB2312"/>
          <w:iCs/>
          <w:sz w:val="32"/>
          <w:szCs w:val="32"/>
        </w:rPr>
        <w:t>负责对法律规定由本院办理</w:t>
      </w:r>
      <w:r>
        <w:rPr>
          <w:rFonts w:hint="eastAsia" w:ascii="仿宋_GB2312" w:hAnsi="ˎ̥" w:eastAsia="仿宋_GB2312"/>
          <w:sz w:val="32"/>
          <w:szCs w:val="32"/>
        </w:rPr>
        <w:t>的司法工作人员利用职权实施的非法拘禁、刑讯逼供、非法搜查等侵犯公民权利、损害司法公正犯罪，以及按照刑事诉讼法规定需要由人民检察院直接受理的其他重大犯罪案件的侦查。</w:t>
      </w:r>
    </w:p>
    <w:p>
      <w:pPr>
        <w:keepNext w:val="0"/>
        <w:keepLines w:val="0"/>
        <w:pageBreakBefore w:val="0"/>
        <w:widowControl w:val="0"/>
        <w:numPr>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第四检察部。负责案件管理、接待辩护人和诉讼代理人、人民监督员工作。负责受理向本院的控告、申诉和举报，承办本院管辖的国家赔偿案件和国家司法救助案件。负责法律政策研究，承担本院检察委员会的日常工作。负责对本院各部门执行法律法规和上级人民检察院和本院的规定、决定的情况进行督查。承担检察官惩戒、内部审计工作。负责检察监督线索管理等工作。</w:t>
      </w:r>
    </w:p>
    <w:p>
      <w:pPr>
        <w:keepNext w:val="0"/>
        <w:keepLines w:val="0"/>
        <w:pageBreakBefore w:val="0"/>
        <w:widowControl w:val="0"/>
        <w:numPr>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检察综合部（政工科、司法警察大队）。负责机关文电、会务、机要、档案、保密等工作。负责领导同志批办事项的督查工作。负责人大代表、政协委员和特约检察员的联系工作。负责财务装备管理工作，以及检察技术、信息化建设、信息安全等工作。负责本院党的建设、领导班子建设、干部队伍与组织建设、检察官管理、劳动工资管理，以及检察官遴选、检察官助理和聘用制书记员统一招录等工作。负责机关意识形态、新闻宣传和舆论引导、检察文化建设等工作。负责司法警察工作，以及本院警务保障和机关的安全保卫等工作。</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（注：如果是基层预算单位，没有下属单位的，可只说明单位内设机构即可。）</w:t>
      </w:r>
    </w:p>
    <w:p>
      <w:pPr>
        <w:spacing w:line="578" w:lineRule="exact"/>
        <w:jc w:val="center"/>
        <w:rPr>
          <w:rFonts w:hint="eastAsia" w:ascii="黑体" w:hAnsi="ˎ̥" w:eastAsia="黑体"/>
          <w:sz w:val="32"/>
          <w:szCs w:val="32"/>
        </w:rPr>
      </w:pPr>
      <w:bookmarkStart w:id="19" w:name="_Toc30451_WPSOffice_Level1"/>
      <w:bookmarkStart w:id="20" w:name="_Toc30690_WPSOffice_Level1"/>
      <w:bookmarkStart w:id="21" w:name="_Toc6234_WPSOffice_Level1"/>
      <w:bookmarkStart w:id="22" w:name="_Toc8164_WPSOffice_Level1"/>
      <w:bookmarkStart w:id="23" w:name="_Toc15521_WPSOffice_Level1"/>
      <w:bookmarkStart w:id="24" w:name="_Toc28253_WPSOffice_Level1"/>
      <w:bookmarkStart w:id="25" w:name="_Toc32472_WPSOffice_Level2"/>
      <w:bookmarkStart w:id="26" w:name="_Toc4029_WPSOffice_Level2"/>
      <w:bookmarkStart w:id="27" w:name="_Toc8867_WPSOffice_Level2"/>
      <w:bookmarkStart w:id="28" w:name="_Toc32695_WPSOffice_Level2"/>
      <w:bookmarkStart w:id="29" w:name="_Toc11518_WPSOffice_Level2"/>
      <w:bookmarkStart w:id="30" w:name="_Toc6211_WPSOffice_Level2"/>
    </w:p>
    <w:p>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2025</w:t>
      </w:r>
      <w:r>
        <w:rPr>
          <w:rFonts w:hint="eastAsia" w:ascii="黑体" w:hAnsi="ˎ̥" w:eastAsia="黑体"/>
          <w:sz w:val="32"/>
          <w:szCs w:val="32"/>
        </w:rPr>
        <w:t>年度部门决算公开报表</w:t>
      </w:r>
      <w:bookmarkEnd w:id="19"/>
      <w:bookmarkEnd w:id="20"/>
      <w:bookmarkEnd w:id="21"/>
      <w:bookmarkEnd w:id="22"/>
      <w:bookmarkEnd w:id="23"/>
      <w:bookmarkEnd w:id="24"/>
    </w:p>
    <w:p>
      <w:pPr>
        <w:spacing w:line="578" w:lineRule="exact"/>
        <w:ind w:firstLine="645"/>
        <w:rPr>
          <w:rFonts w:hint="eastAsia" w:ascii="黑体" w:hAnsi="黑体" w:eastAsia="黑体" w:cs="黑体"/>
          <w:sz w:val="32"/>
          <w:szCs w:val="32"/>
        </w:rPr>
      </w:pPr>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pPr>
        <w:spacing w:line="578" w:lineRule="exact"/>
        <w:ind w:firstLine="645"/>
        <w:rPr>
          <w:rFonts w:hint="eastAsia" w:ascii="黑体" w:hAnsi="黑体" w:eastAsia="黑体" w:cs="黑体"/>
          <w:sz w:val="32"/>
          <w:szCs w:val="32"/>
        </w:rPr>
      </w:pPr>
      <w:bookmarkStart w:id="31" w:name="_Toc14349_WPSOffice_Level2"/>
      <w:bookmarkStart w:id="32" w:name="_Toc30334_WPSOffice_Level2"/>
      <w:bookmarkStart w:id="33" w:name="_Toc28622_WPSOffice_Level2"/>
      <w:bookmarkStart w:id="34" w:name="_Toc23139_WPSOffice_Level2"/>
      <w:bookmarkStart w:id="35" w:name="_Toc25608_WPSOffice_Level2"/>
      <w:bookmarkStart w:id="36" w:name="_Toc26621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17858_WPSOffice_Level2"/>
      <w:bookmarkStart w:id="38" w:name="_Toc5489_WPSOffice_Level2"/>
      <w:bookmarkStart w:id="39" w:name="_Toc13854_WPSOffice_Level2"/>
      <w:bookmarkStart w:id="40" w:name="_Toc17626_WPSOffice_Level2"/>
      <w:bookmarkStart w:id="41" w:name="_Toc14658_WPSOffice_Level2"/>
      <w:bookmarkStart w:id="42" w:name="_Toc3262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4265_WPSOffice_Level2"/>
      <w:bookmarkStart w:id="44" w:name="_Toc13701_WPSOffice_Level2"/>
      <w:bookmarkStart w:id="45" w:name="_Toc21415_WPSOffice_Level2"/>
      <w:bookmarkStart w:id="46" w:name="_Toc7988_WPSOffice_Level2"/>
      <w:bookmarkStart w:id="47" w:name="_Toc23591_WPSOffice_Level2"/>
      <w:bookmarkStart w:id="48" w:name="_Toc23493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pPr>
        <w:spacing w:line="578" w:lineRule="exact"/>
        <w:ind w:firstLine="645"/>
        <w:rPr>
          <w:rFonts w:hint="eastAsia" w:ascii="黑体" w:hAnsi="黑体" w:eastAsia="黑体" w:cs="黑体"/>
          <w:sz w:val="32"/>
          <w:szCs w:val="32"/>
        </w:rPr>
      </w:pPr>
      <w:bookmarkStart w:id="49" w:name="_Toc23829_WPSOffice_Level2"/>
      <w:bookmarkStart w:id="50" w:name="_Toc7879_WPSOffice_Level2"/>
      <w:bookmarkStart w:id="51" w:name="_Toc25166_WPSOffice_Level2"/>
      <w:bookmarkStart w:id="52" w:name="_Toc22783_WPSOffice_Level2"/>
      <w:bookmarkStart w:id="53" w:name="_Toc2158_WPSOffice_Level2"/>
      <w:bookmarkStart w:id="54" w:name="_Toc13516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2632_WPSOffice_Level2"/>
      <w:bookmarkStart w:id="56" w:name="_Toc17833_WPSOffice_Level2"/>
      <w:bookmarkStart w:id="57" w:name="_Toc17283_WPSOffice_Level2"/>
      <w:bookmarkStart w:id="58" w:name="_Toc8373_WPSOffice_Level2"/>
      <w:bookmarkStart w:id="59" w:name="_Toc25362_WPSOffice_Level2"/>
      <w:bookmarkStart w:id="60" w:name="_Toc5343_WPSOffice_Level2"/>
    </w:p>
    <w:p>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bookmarkStart w:id="61" w:name="_Toc6020_WPSOffice_Level2"/>
      <w:bookmarkStart w:id="62" w:name="_Toc5594_WPSOffice_Level2"/>
      <w:bookmarkStart w:id="63" w:name="_Toc1533_WPSOffice_Level2"/>
      <w:bookmarkStart w:id="64" w:name="_Toc21310_WPSOffice_Level2"/>
      <w:bookmarkStart w:id="65" w:name="_Toc13345_WPSOffice_Level2"/>
      <w:bookmarkStart w:id="66" w:name="_Toc11799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spacing w:line="578" w:lineRule="exact"/>
        <w:ind w:firstLine="640"/>
        <w:rPr>
          <w:rFonts w:hint="eastAsia" w:ascii="黑体" w:hAnsi="黑体" w:eastAsia="黑体" w:cs="黑体"/>
          <w:sz w:val="32"/>
          <w:szCs w:val="32"/>
        </w:rPr>
      </w:pPr>
      <w:bookmarkStart w:id="67" w:name="_Toc29886_WPSOffice_Level2"/>
      <w:bookmarkStart w:id="68" w:name="_Toc19961_WPSOffice_Level2"/>
      <w:bookmarkStart w:id="69" w:name="_Toc1820_WPSOffice_Level2"/>
      <w:bookmarkStart w:id="70" w:name="_Toc9377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pPr>
        <w:spacing w:line="578" w:lineRule="exact"/>
        <w:rPr>
          <w:rFonts w:hint="eastAsia" w:ascii="黑体" w:hAnsi="黑体" w:eastAsia="黑体" w:cs="黑体"/>
          <w:sz w:val="32"/>
          <w:szCs w:val="32"/>
        </w:rPr>
      </w:pPr>
    </w:p>
    <w:p>
      <w:pPr>
        <w:spacing w:line="578" w:lineRule="exact"/>
        <w:jc w:val="center"/>
        <w:rPr>
          <w:rFonts w:hint="eastAsia" w:ascii="黑体" w:hAnsi="ˎ̥" w:eastAsia="黑体"/>
          <w:sz w:val="32"/>
          <w:szCs w:val="32"/>
        </w:rPr>
      </w:pPr>
      <w:bookmarkStart w:id="71" w:name="_Toc27590_WPSOffice_Level1"/>
      <w:bookmarkStart w:id="72" w:name="_Toc4402_WPSOffice_Level1"/>
      <w:bookmarkStart w:id="73" w:name="_Toc16686_WPSOffice_Level1"/>
      <w:bookmarkStart w:id="74" w:name="_Toc29683_WPSOffice_Level1"/>
      <w:bookmarkStart w:id="75" w:name="_Toc28629_WPSOffice_Level1"/>
      <w:bookmarkStart w:id="76" w:name="_Toc31264_WPSOffice_Level1"/>
      <w:r>
        <w:rPr>
          <w:rFonts w:hint="eastAsia" w:ascii="黑体" w:hAnsi="ˎ̥" w:eastAsia="黑体"/>
          <w:sz w:val="32"/>
          <w:szCs w:val="32"/>
        </w:rPr>
        <w:t xml:space="preserve">第三部分  </w:t>
      </w:r>
      <w:r>
        <w:rPr>
          <w:rFonts w:hint="default" w:ascii="黑体" w:hAnsi="ˎ̥" w:eastAsia="黑体"/>
          <w:sz w:val="32"/>
          <w:szCs w:val="32"/>
          <w:lang w:val="en-US"/>
        </w:rPr>
        <w:t>2025</w:t>
      </w:r>
      <w:r>
        <w:rPr>
          <w:rFonts w:hint="eastAsia" w:ascii="黑体" w:hAnsi="ˎ̥" w:eastAsia="黑体"/>
          <w:sz w:val="32"/>
          <w:szCs w:val="32"/>
        </w:rPr>
        <w:t>年度部门决算情况说明</w:t>
      </w:r>
      <w:bookmarkEnd w:id="71"/>
      <w:bookmarkEnd w:id="72"/>
      <w:bookmarkEnd w:id="73"/>
      <w:bookmarkEnd w:id="74"/>
      <w:bookmarkEnd w:id="75"/>
      <w:bookmarkEnd w:id="76"/>
    </w:p>
    <w:p>
      <w:pPr>
        <w:spacing w:line="578" w:lineRule="exact"/>
        <w:jc w:val="center"/>
        <w:rPr>
          <w:rFonts w:hint="eastAsia" w:ascii="黑体" w:hAnsi="ˎ̥" w:eastAsia="黑体"/>
          <w:sz w:val="32"/>
          <w:szCs w:val="32"/>
        </w:rPr>
      </w:pP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2025</w:t>
      </w:r>
      <w:r>
        <w:rPr>
          <w:rFonts w:hint="eastAsia" w:ascii="仿宋_GB2312" w:hAnsi="ˎ̥" w:eastAsia="仿宋_GB2312"/>
          <w:sz w:val="32"/>
          <w:szCs w:val="32"/>
        </w:rPr>
        <w:t>年度收入总计</w:t>
      </w:r>
      <w:r>
        <w:rPr>
          <w:rFonts w:hint="default" w:ascii="仿宋_GB2312" w:hAnsi="ˎ̥" w:eastAsia="仿宋_GB2312"/>
          <w:color w:val="FF0000"/>
          <w:sz w:val="32"/>
          <w:szCs w:val="32"/>
          <w:lang w:val="en-US"/>
        </w:rPr>
        <w:t>1,194.81</w:t>
      </w:r>
      <w:r>
        <w:rPr>
          <w:rFonts w:hint="eastAsia" w:ascii="仿宋_GB2312" w:hAnsi="ˎ̥" w:eastAsia="仿宋_GB2312"/>
          <w:sz w:val="32"/>
          <w:szCs w:val="32"/>
        </w:rPr>
        <w:t>万元，支出总计</w:t>
      </w:r>
      <w:r>
        <w:rPr>
          <w:rFonts w:hint="default" w:ascii="仿宋_GB2312" w:hAnsi="ˎ̥" w:eastAsia="仿宋_GB2312"/>
          <w:color w:val="FF0000"/>
          <w:sz w:val="32"/>
          <w:szCs w:val="32"/>
          <w:lang w:val="en-US"/>
        </w:rPr>
        <w:t>1,194.81</w:t>
      </w:r>
      <w:r>
        <w:rPr>
          <w:rFonts w:hint="eastAsia" w:ascii="仿宋_GB2312" w:hAnsi="ˎ̥" w:eastAsia="仿宋_GB2312"/>
          <w:sz w:val="32"/>
          <w:szCs w:val="32"/>
        </w:rPr>
        <w:t>万元，与</w:t>
      </w:r>
      <w:r>
        <w:rPr>
          <w:rFonts w:hint="default" w:ascii="仿宋_GB2312" w:hAnsi="ˎ̥" w:eastAsia="仿宋_GB2312"/>
          <w:sz w:val="32"/>
          <w:szCs w:val="32"/>
          <w:lang w:val="en-US"/>
        </w:rPr>
        <w:t>2024</w:t>
      </w:r>
      <w:r>
        <w:rPr>
          <w:rFonts w:hint="eastAsia" w:ascii="仿宋_GB2312" w:hAnsi="ˎ̥" w:eastAsia="仿宋_GB2312"/>
          <w:sz w:val="32"/>
          <w:szCs w:val="32"/>
        </w:rPr>
        <w:t>年度相比，收入、支出总计各增加</w:t>
      </w:r>
      <w:r>
        <w:rPr>
          <w:rFonts w:hint="eastAsia" w:ascii="仿宋_GB2312" w:hAnsi="ˎ̥" w:eastAsia="仿宋_GB2312"/>
          <w:sz w:val="32"/>
          <w:szCs w:val="32"/>
          <w:lang w:val="en-US" w:eastAsia="zh-CN"/>
        </w:rPr>
        <w:t>103.1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，增长</w:t>
      </w:r>
      <w:r>
        <w:rPr>
          <w:rFonts w:hint="eastAsia" w:ascii="仿宋_GB2312" w:hAnsi="ˎ̥" w:eastAsia="仿宋_GB2312"/>
          <w:sz w:val="32"/>
          <w:szCs w:val="32"/>
          <w:lang w:val="en-US" w:eastAsia="zh-CN"/>
        </w:rPr>
        <w:t>9.4</w:t>
      </w:r>
      <w:r>
        <w:rPr>
          <w:rFonts w:hint="eastAsia" w:ascii="仿宋_GB2312" w:hAnsi="ˎ̥" w:eastAsia="仿宋_GB2312"/>
          <w:sz w:val="32"/>
          <w:szCs w:val="32"/>
        </w:rPr>
        <w:t>%。主要原因：主要原因：一是</w:t>
      </w:r>
      <w:r>
        <w:rPr>
          <w:rFonts w:hint="eastAsia" w:ascii="仿宋_GB2312" w:hAnsi="ˎ̥" w:eastAsia="仿宋_GB2312"/>
          <w:sz w:val="32"/>
          <w:szCs w:val="32"/>
          <w:lang w:val="en-US" w:eastAsia="zh-CN"/>
        </w:rPr>
        <w:t>2025年驻村相关经费预算直接下达至本院、往年直接没有预算</w:t>
      </w:r>
      <w:r>
        <w:rPr>
          <w:rFonts w:hint="eastAsia" w:ascii="仿宋_GB2312" w:hAnsi="ˎ̥" w:eastAsia="仿宋_GB2312"/>
          <w:sz w:val="32"/>
          <w:szCs w:val="32"/>
        </w:rPr>
        <w:t>；二是</w:t>
      </w:r>
      <w:r>
        <w:rPr>
          <w:rFonts w:hint="eastAsia" w:ascii="仿宋_GB2312" w:hAnsi="ˎ̥" w:eastAsia="仿宋_GB2312"/>
          <w:sz w:val="32"/>
          <w:szCs w:val="32"/>
          <w:lang w:val="en-US" w:eastAsia="zh-CN"/>
        </w:rPr>
        <w:t>人员工资、转移支付资金等预算变动了、还增加了一次休假探亲费等</w:t>
      </w:r>
      <w:r>
        <w:rPr>
          <w:rFonts w:hint="eastAsia" w:ascii="仿宋_GB2312" w:hAnsi="ˎ̥" w:eastAsia="仿宋_GB2312"/>
          <w:sz w:val="32"/>
          <w:szCs w:val="32"/>
        </w:rPr>
        <w:t>。</w:t>
      </w:r>
    </w:p>
    <w:p>
      <w:pPr>
        <w:keepNext w:val="0"/>
        <w:keepLines w:val="0"/>
        <w:pageBreakBefore w:val="0"/>
        <w:widowControl w:val="0"/>
        <w:numPr>
          <w:numId w:val="0"/>
        </w:numPr>
        <w:kinsoku/>
        <w:wordWrap/>
        <w:overflowPunct/>
        <w:topLinePunct w:val="0"/>
        <w:autoSpaceDE/>
        <w:autoSpaceDN/>
        <w:bidi w:val="0"/>
        <w:adjustRightInd/>
        <w:snapToGrid/>
        <w:spacing w:line="578" w:lineRule="exact"/>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w:t>
      </w:r>
      <w:r>
        <w:rPr>
          <w:rFonts w:hint="default" w:ascii="仿宋_GB2312" w:hAnsi="ˎ̥" w:eastAsia="仿宋_GB2312"/>
          <w:color w:val="FF0000"/>
          <w:sz w:val="32"/>
          <w:szCs w:val="32"/>
          <w:lang w:val="en-US"/>
        </w:rPr>
        <w:t>1,184.16</w:t>
      </w:r>
      <w:r>
        <w:rPr>
          <w:rFonts w:hint="eastAsia" w:ascii="仿宋_GB2312" w:hAnsi="ˎ̥" w:eastAsia="仿宋_GB2312"/>
          <w:sz w:val="32"/>
          <w:szCs w:val="32"/>
        </w:rPr>
        <w:t>万元。</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使用非财政拨款结余</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万元，较202</w:t>
      </w:r>
      <w:r>
        <w:rPr>
          <w:rFonts w:hint="eastAsia" w:ascii="仿宋_GB2312" w:hAnsi="ˎ̥" w:eastAsia="仿宋_GB2312"/>
          <w:sz w:val="32"/>
          <w:szCs w:val="32"/>
          <w:lang w:val="en-US" w:eastAsia="zh-CN"/>
        </w:rPr>
        <w:t>4</w:t>
      </w:r>
      <w:r>
        <w:rPr>
          <w:rFonts w:hint="eastAsia" w:ascii="仿宋_GB2312" w:hAnsi="ˎ̥" w:eastAsia="仿宋_GB2312"/>
          <w:sz w:val="32"/>
          <w:szCs w:val="32"/>
        </w:rPr>
        <w:t>年度决算数增加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万元，主要原因是</w:t>
      </w:r>
      <w:r>
        <w:rPr>
          <w:rFonts w:hint="eastAsia" w:ascii="仿宋_GB2312" w:hAnsi="ˎ̥" w:eastAsia="仿宋_GB2312"/>
          <w:sz w:val="32"/>
          <w:szCs w:val="32"/>
          <w:lang w:val="en-US" w:eastAsia="zh-CN"/>
        </w:rPr>
        <w:t>2024年度我院也没有</w:t>
      </w:r>
      <w:r>
        <w:rPr>
          <w:rFonts w:hint="eastAsia" w:ascii="仿宋_GB2312" w:hAnsi="ˎ̥" w:eastAsia="仿宋_GB2312"/>
          <w:sz w:val="32"/>
          <w:szCs w:val="32"/>
        </w:rPr>
        <w:t>使用非财政拨款结余。</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年初结转结余</w:t>
      </w:r>
      <w:r>
        <w:rPr>
          <w:rFonts w:hint="default" w:ascii="仿宋_GB2312" w:hAnsi="ˎ̥" w:eastAsia="仿宋_GB2312"/>
          <w:color w:val="FF0000"/>
          <w:sz w:val="32"/>
          <w:szCs w:val="32"/>
          <w:lang w:val="en-US"/>
        </w:rPr>
        <w:t>10.65</w:t>
      </w:r>
      <w:r>
        <w:rPr>
          <w:rFonts w:hint="eastAsia" w:ascii="仿宋_GB2312" w:hAnsi="ˎ̥" w:eastAsia="仿宋_GB2312"/>
          <w:sz w:val="32"/>
          <w:szCs w:val="32"/>
        </w:rPr>
        <w:t>万元，主要是</w:t>
      </w:r>
      <w:r>
        <w:rPr>
          <w:rFonts w:hint="eastAsia" w:ascii="仿宋_GB2312" w:hAnsi="ˎ̥" w:eastAsia="仿宋_GB2312"/>
          <w:sz w:val="32"/>
          <w:szCs w:val="32"/>
          <w:lang w:eastAsia="zh-CN"/>
        </w:rPr>
        <w:t>援藏资金和其他应缴财政资金</w:t>
      </w:r>
      <w:r>
        <w:rPr>
          <w:rFonts w:hint="eastAsia" w:ascii="仿宋_GB2312" w:hAnsi="ˎ̥" w:eastAsia="仿宋_GB2312"/>
          <w:sz w:val="32"/>
          <w:szCs w:val="32"/>
        </w:rPr>
        <w:t>，较</w:t>
      </w:r>
      <w:r>
        <w:rPr>
          <w:rFonts w:hint="default" w:ascii="仿宋_GB2312" w:hAnsi="ˎ̥" w:eastAsia="仿宋_GB2312"/>
          <w:sz w:val="32"/>
          <w:szCs w:val="32"/>
          <w:lang w:val="en-US"/>
        </w:rPr>
        <w:t>2024</w:t>
      </w:r>
      <w:r>
        <w:rPr>
          <w:rFonts w:hint="eastAsia" w:ascii="仿宋_GB2312" w:hAnsi="ˎ̥" w:eastAsia="仿宋_GB2312"/>
          <w:sz w:val="32"/>
          <w:szCs w:val="32"/>
        </w:rPr>
        <w:t>年度决算数增加</w:t>
      </w:r>
      <w:r>
        <w:rPr>
          <w:rFonts w:hint="eastAsia" w:ascii="仿宋_GB2312" w:hAnsi="ˎ̥" w:eastAsia="仿宋_GB2312"/>
          <w:sz w:val="32"/>
          <w:szCs w:val="32"/>
          <w:lang w:val="en-US" w:eastAsia="zh-CN"/>
        </w:rPr>
        <w:t>9.19</w:t>
      </w:r>
      <w:r>
        <w:rPr>
          <w:rFonts w:hint="eastAsia" w:ascii="仿宋_GB2312" w:hAnsi="ˎ̥" w:eastAsia="仿宋_GB2312"/>
          <w:sz w:val="32"/>
          <w:szCs w:val="32"/>
        </w:rPr>
        <w:t>万元，增长</w:t>
      </w:r>
      <w:r>
        <w:rPr>
          <w:rFonts w:hint="eastAsia" w:ascii="仿宋_GB2312" w:hAnsi="ˎ̥" w:eastAsia="仿宋_GB2312"/>
          <w:sz w:val="32"/>
          <w:szCs w:val="32"/>
          <w:lang w:val="en-US" w:eastAsia="zh-CN"/>
        </w:rPr>
        <w:t>629.5</w:t>
      </w:r>
      <w:r>
        <w:rPr>
          <w:rFonts w:hint="eastAsia" w:ascii="仿宋_GB2312" w:hAnsi="ˎ̥" w:eastAsia="仿宋_GB2312"/>
          <w:sz w:val="32"/>
          <w:szCs w:val="32"/>
        </w:rPr>
        <w:t>%，主要原因是主要原因是</w:t>
      </w:r>
      <w:r>
        <w:rPr>
          <w:rFonts w:hint="eastAsia" w:ascii="仿宋_GB2312" w:hAnsi="ˎ̥" w:eastAsia="仿宋_GB2312"/>
          <w:sz w:val="32"/>
          <w:szCs w:val="32"/>
          <w:lang w:val="en-US" w:eastAsia="zh-CN"/>
        </w:rPr>
        <w:t>2025年年初援藏资金结转比2024年多，因此2025年年初年初结转结余比2024年增加</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1,159.48</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rPr>
        <w:t>结余分配</w:t>
      </w:r>
      <w:r>
        <w:rPr>
          <w:rFonts w:hint="default" w:ascii="仿宋_GB2312" w:hAnsi="ˎ̥" w:eastAsia="仿宋_GB2312"/>
          <w:color w:val="FF0000"/>
          <w:sz w:val="32"/>
          <w:szCs w:val="32"/>
          <w:lang w:val="en-US"/>
        </w:rPr>
        <w:t>0.00</w:t>
      </w:r>
      <w:r>
        <w:rPr>
          <w:rFonts w:hint="eastAsia" w:ascii="仿宋_GB2312" w:hAnsi="ˎ̥" w:eastAsia="仿宋_GB2312"/>
          <w:sz w:val="32"/>
          <w:szCs w:val="32"/>
        </w:rPr>
        <w:t>万元，较</w:t>
      </w:r>
      <w:r>
        <w:rPr>
          <w:rFonts w:hint="eastAsia" w:ascii="仿宋_GB2312" w:hAnsi="ˎ̥" w:eastAsia="仿宋_GB2312"/>
          <w:sz w:val="32"/>
          <w:szCs w:val="32"/>
          <w:lang w:eastAsia="zh-CN"/>
        </w:rPr>
        <w:t>2024</w:t>
      </w:r>
      <w:r>
        <w:rPr>
          <w:rFonts w:hint="eastAsia" w:ascii="仿宋_GB2312" w:hAnsi="ˎ̥" w:eastAsia="仿宋_GB2312"/>
          <w:sz w:val="32"/>
          <w:szCs w:val="32"/>
        </w:rPr>
        <w:t>年度决算数</w:t>
      </w:r>
      <w:r>
        <w:rPr>
          <w:rFonts w:hint="eastAsia" w:ascii="仿宋_GB2312" w:hAnsi="ˎ̥" w:eastAsia="仿宋_GB2312"/>
          <w:sz w:val="32"/>
          <w:szCs w:val="32"/>
          <w:lang w:eastAsia="zh-CN"/>
        </w:rPr>
        <w:t>无增加减少。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年末结转结余</w:t>
      </w:r>
      <w:r>
        <w:rPr>
          <w:rFonts w:hint="default" w:ascii="仿宋_GB2312" w:hAnsi="ˎ̥" w:eastAsia="仿宋_GB2312"/>
          <w:color w:val="FF0000"/>
          <w:sz w:val="32"/>
          <w:szCs w:val="32"/>
          <w:lang w:val="en-US"/>
        </w:rPr>
        <w:t>35.33</w:t>
      </w:r>
      <w:r>
        <w:rPr>
          <w:rFonts w:hint="eastAsia" w:ascii="仿宋_GB2312" w:hAnsi="ˎ̥" w:eastAsia="仿宋_GB2312"/>
          <w:sz w:val="32"/>
          <w:szCs w:val="32"/>
        </w:rPr>
        <w:t>万元，主要是</w:t>
      </w:r>
      <w:r>
        <w:rPr>
          <w:rFonts w:hint="eastAsia" w:ascii="仿宋_GB2312" w:hAnsi="ˎ̥" w:eastAsia="仿宋_GB2312"/>
          <w:sz w:val="32"/>
          <w:szCs w:val="32"/>
          <w:lang w:eastAsia="zh-CN"/>
        </w:rPr>
        <w:t>基户结余资金，</w:t>
      </w:r>
      <w:r>
        <w:rPr>
          <w:rFonts w:hint="eastAsia" w:ascii="仿宋_GB2312" w:hAnsi="ˎ̥" w:eastAsia="仿宋_GB2312"/>
          <w:sz w:val="32"/>
          <w:szCs w:val="32"/>
        </w:rPr>
        <w:t>较</w:t>
      </w:r>
      <w:r>
        <w:rPr>
          <w:rFonts w:hint="default" w:ascii="仿宋_GB2312" w:hAnsi="ˎ̥" w:eastAsia="仿宋_GB2312"/>
          <w:sz w:val="32"/>
          <w:szCs w:val="32"/>
          <w:lang w:val="en-US"/>
        </w:rPr>
        <w:t>2024</w:t>
      </w:r>
      <w:r>
        <w:rPr>
          <w:rFonts w:hint="eastAsia" w:ascii="仿宋_GB2312" w:hAnsi="ˎ̥" w:eastAsia="仿宋_GB2312"/>
          <w:sz w:val="32"/>
          <w:szCs w:val="32"/>
        </w:rPr>
        <w:t>年度决算数增加</w:t>
      </w:r>
      <w:r>
        <w:rPr>
          <w:rFonts w:hint="eastAsia" w:ascii="仿宋_GB2312" w:hAnsi="ˎ̥" w:eastAsia="仿宋_GB2312"/>
          <w:sz w:val="32"/>
          <w:szCs w:val="32"/>
          <w:lang w:val="en-US" w:eastAsia="zh-CN"/>
        </w:rPr>
        <w:t>24.65</w:t>
      </w:r>
      <w:r>
        <w:rPr>
          <w:rFonts w:hint="eastAsia" w:ascii="仿宋_GB2312" w:hAnsi="ˎ̥" w:eastAsia="仿宋_GB2312"/>
          <w:sz w:val="32"/>
          <w:szCs w:val="32"/>
        </w:rPr>
        <w:t>万元，增长</w:t>
      </w:r>
      <w:r>
        <w:rPr>
          <w:rFonts w:hint="eastAsia" w:ascii="仿宋_GB2312" w:hAnsi="ˎ̥" w:eastAsia="仿宋_GB2312"/>
          <w:sz w:val="32"/>
          <w:szCs w:val="32"/>
          <w:lang w:val="en-US" w:eastAsia="zh-CN"/>
        </w:rPr>
        <w:t>231.7</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2025年援藏资金剩余较多</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hint="default" w:ascii="仿宋_GB2312" w:hAnsi="ˎ̥" w:eastAsia="仿宋_GB2312"/>
          <w:color w:val="FF0000"/>
          <w:sz w:val="32"/>
          <w:szCs w:val="32"/>
          <w:lang w:val="en-US"/>
        </w:rPr>
        <w:t>1,184.16</w:t>
      </w:r>
      <w:r>
        <w:rPr>
          <w:rFonts w:hint="eastAsia" w:ascii="仿宋_GB2312" w:hAnsi="ˎ̥" w:eastAsia="仿宋_GB2312"/>
          <w:sz w:val="32"/>
          <w:szCs w:val="32"/>
        </w:rPr>
        <w:t>万元，其中：财政拨款收入</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95.78</w:t>
      </w:r>
      <w:r>
        <w:rPr>
          <w:rFonts w:hint="eastAsia" w:ascii="仿宋_GB2312" w:hAnsi="ˎ̥" w:eastAsia="仿宋_GB2312"/>
          <w:sz w:val="32"/>
          <w:szCs w:val="32"/>
        </w:rPr>
        <w:t>%；上级补助收入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%；事业收入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%；附属单位上缴收入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%；其他收入</w:t>
      </w:r>
      <w:r>
        <w:rPr>
          <w:rFonts w:hint="default" w:ascii="仿宋_GB2312" w:hAnsi="ˎ̥" w:eastAsia="仿宋_GB2312"/>
          <w:color w:val="FF0000"/>
          <w:sz w:val="32"/>
          <w:szCs w:val="32"/>
          <w:lang w:val="en-US"/>
        </w:rPr>
        <w:t>50.00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4.2</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1,159.48</w:t>
      </w:r>
      <w:r>
        <w:rPr>
          <w:rFonts w:hint="eastAsia" w:ascii="仿宋_GB2312" w:hAnsi="ˎ̥" w:eastAsia="仿宋_GB2312"/>
          <w:sz w:val="32"/>
          <w:szCs w:val="32"/>
        </w:rPr>
        <w:t>万元，其中：基本支出</w:t>
      </w:r>
      <w:r>
        <w:rPr>
          <w:rFonts w:hint="default" w:ascii="仿宋_GB2312" w:hAnsi="ˎ̥" w:eastAsia="仿宋_GB2312"/>
          <w:color w:val="FF0000"/>
          <w:sz w:val="32"/>
          <w:szCs w:val="32"/>
          <w:lang w:val="en-US"/>
        </w:rPr>
        <w:t>1,016.37</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87.7</w:t>
      </w:r>
      <w:r>
        <w:rPr>
          <w:rFonts w:hint="eastAsia" w:ascii="仿宋_GB2312" w:hAnsi="ˎ̥" w:eastAsia="仿宋_GB2312"/>
          <w:sz w:val="32"/>
          <w:szCs w:val="32"/>
        </w:rPr>
        <w:t>%；项目支出</w:t>
      </w:r>
      <w:r>
        <w:rPr>
          <w:rFonts w:hint="default" w:ascii="仿宋_GB2312" w:hAnsi="ˎ̥" w:eastAsia="仿宋_GB2312"/>
          <w:color w:val="FF0000"/>
          <w:sz w:val="32"/>
          <w:szCs w:val="32"/>
          <w:lang w:val="en-US"/>
        </w:rPr>
        <w:t>143.11</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12.3</w:t>
      </w:r>
      <w:r>
        <w:rPr>
          <w:rFonts w:hint="eastAsia" w:ascii="仿宋_GB2312" w:hAnsi="ˎ̥" w:eastAsia="仿宋_GB2312"/>
          <w:sz w:val="32"/>
          <w:szCs w:val="32"/>
        </w:rPr>
        <w:t>%；上缴上级支出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%；对附属单位补助支出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spacing w:line="578" w:lineRule="exact"/>
        <w:ind w:firstLine="640" w:firstLineChars="200"/>
        <w:rPr>
          <w:rFonts w:hint="eastAsia" w:ascii="仿宋_GB2312" w:hAnsi="ˎ̥" w:eastAsia="仿宋_GB2312"/>
          <w:sz w:val="32"/>
          <w:szCs w:val="32"/>
          <w:lang w:val="en-US" w:eastAsia="zh-CN"/>
        </w:rPr>
      </w:pPr>
      <w:r>
        <w:rPr>
          <w:rFonts w:hint="default" w:ascii="仿宋_GB2312" w:hAnsi="ˎ̥" w:eastAsia="仿宋_GB2312"/>
          <w:sz w:val="32"/>
          <w:szCs w:val="32"/>
          <w:lang w:val="en-US"/>
        </w:rPr>
        <w:t>2025</w:t>
      </w:r>
      <w:r>
        <w:rPr>
          <w:rFonts w:hint="eastAsia" w:ascii="仿宋_GB2312" w:hAnsi="ˎ̥" w:eastAsia="仿宋_GB2312"/>
          <w:sz w:val="32"/>
          <w:szCs w:val="32"/>
        </w:rPr>
        <w:t>年度财政拨款收入</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万元，支出</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万元。与</w:t>
      </w:r>
      <w:r>
        <w:rPr>
          <w:rFonts w:hint="default" w:ascii="仿宋_GB2312" w:hAnsi="ˎ̥" w:eastAsia="仿宋_GB2312"/>
          <w:sz w:val="32"/>
          <w:szCs w:val="32"/>
          <w:lang w:val="en-US"/>
        </w:rPr>
        <w:t>2024</w:t>
      </w:r>
      <w:r>
        <w:rPr>
          <w:rFonts w:hint="eastAsia" w:ascii="仿宋_GB2312" w:hAnsi="ˎ̥" w:eastAsia="仿宋_GB2312"/>
          <w:sz w:val="32"/>
          <w:szCs w:val="32"/>
        </w:rPr>
        <w:t>年度相比，财政拨款收入增加</w:t>
      </w:r>
      <w:r>
        <w:rPr>
          <w:rFonts w:hint="eastAsia" w:ascii="仿宋_GB2312" w:hAnsi="ˎ̥" w:eastAsia="仿宋_GB2312"/>
          <w:sz w:val="32"/>
          <w:szCs w:val="32"/>
          <w:lang w:val="en-US" w:eastAsia="zh-CN"/>
        </w:rPr>
        <w:t>78.91</w:t>
      </w:r>
      <w:r>
        <w:rPr>
          <w:rFonts w:hint="eastAsia" w:ascii="仿宋_GB2312" w:hAnsi="ˎ̥" w:eastAsia="仿宋_GB2312"/>
          <w:sz w:val="32"/>
          <w:szCs w:val="32"/>
        </w:rPr>
        <w:t>万元，增长</w:t>
      </w:r>
      <w:r>
        <w:rPr>
          <w:rFonts w:hint="eastAsia" w:ascii="仿宋_GB2312" w:hAnsi="ˎ̥" w:eastAsia="仿宋_GB2312"/>
          <w:sz w:val="32"/>
          <w:szCs w:val="32"/>
          <w:lang w:val="en-US" w:eastAsia="zh-CN"/>
        </w:rPr>
        <w:t>7.5</w:t>
      </w:r>
      <w:r>
        <w:rPr>
          <w:rFonts w:hint="eastAsia" w:ascii="仿宋_GB2312" w:hAnsi="ˎ̥" w:eastAsia="仿宋_GB2312"/>
          <w:sz w:val="32"/>
          <w:szCs w:val="32"/>
        </w:rPr>
        <w:t>%，主要原因：主要原因：一是</w:t>
      </w:r>
      <w:r>
        <w:rPr>
          <w:rFonts w:hint="eastAsia" w:ascii="仿宋_GB2312" w:hAnsi="ˎ̥" w:eastAsia="仿宋_GB2312"/>
          <w:sz w:val="32"/>
          <w:szCs w:val="32"/>
          <w:lang w:val="en-US" w:eastAsia="zh-CN"/>
        </w:rPr>
        <w:t>2025年驻村相关经费预算直接下达至本院、往年直接没有预算</w:t>
      </w:r>
      <w:r>
        <w:rPr>
          <w:rFonts w:hint="eastAsia" w:ascii="仿宋_GB2312" w:hAnsi="ˎ̥" w:eastAsia="仿宋_GB2312"/>
          <w:sz w:val="32"/>
          <w:szCs w:val="32"/>
        </w:rPr>
        <w:t>；二是</w:t>
      </w:r>
      <w:r>
        <w:rPr>
          <w:rFonts w:hint="eastAsia" w:ascii="仿宋_GB2312" w:hAnsi="ˎ̥" w:eastAsia="仿宋_GB2312"/>
          <w:sz w:val="32"/>
          <w:szCs w:val="32"/>
          <w:lang w:val="en-US" w:eastAsia="zh-CN"/>
        </w:rPr>
        <w:t>人员工资、转移支付资金等预算变动了、还增加了一次休假探亲费等。</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rPr>
        <w:t>增加</w:t>
      </w:r>
      <w:r>
        <w:rPr>
          <w:rFonts w:hint="eastAsia" w:ascii="仿宋_GB2312" w:hAnsi="ˎ̥" w:eastAsia="仿宋_GB2312"/>
          <w:sz w:val="32"/>
          <w:szCs w:val="32"/>
          <w:lang w:val="en-US" w:eastAsia="zh-CN"/>
        </w:rPr>
        <w:t>78.91</w:t>
      </w:r>
      <w:r>
        <w:rPr>
          <w:rFonts w:hint="eastAsia" w:ascii="仿宋_GB2312" w:hAnsi="ˎ̥" w:eastAsia="仿宋_GB2312"/>
          <w:sz w:val="32"/>
          <w:szCs w:val="32"/>
        </w:rPr>
        <w:t>万元，增长</w:t>
      </w:r>
      <w:r>
        <w:rPr>
          <w:rFonts w:hint="eastAsia" w:ascii="仿宋_GB2312" w:hAnsi="ˎ̥" w:eastAsia="仿宋_GB2312"/>
          <w:sz w:val="32"/>
          <w:szCs w:val="32"/>
          <w:lang w:val="en-US" w:eastAsia="zh-CN"/>
        </w:rPr>
        <w:t>7.5</w:t>
      </w:r>
      <w:r>
        <w:rPr>
          <w:rFonts w:hint="eastAsia" w:ascii="仿宋_GB2312" w:hAnsi="ˎ̥" w:eastAsia="仿宋_GB2312"/>
          <w:sz w:val="32"/>
          <w:szCs w:val="32"/>
        </w:rPr>
        <w:t>%，主要原因：主要原因：</w:t>
      </w:r>
      <w:r>
        <w:rPr>
          <w:rFonts w:hint="eastAsia" w:ascii="仿宋_GB2312" w:hAnsi="ˎ̥" w:eastAsia="仿宋_GB2312"/>
          <w:sz w:val="32"/>
          <w:szCs w:val="32"/>
          <w:lang w:val="en-US" w:eastAsia="zh-CN"/>
        </w:rPr>
        <w:t>2025年财政拨款收入比2024年度增加了。</w:t>
      </w:r>
    </w:p>
    <w:p>
      <w:pPr>
        <w:spacing w:line="578" w:lineRule="exact"/>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rPr>
        <w:t>财政拨款年初结转结余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val="en-US" w:eastAsia="zh-CN"/>
        </w:rPr>
        <w:t>2024年</w:t>
      </w:r>
      <w:r>
        <w:rPr>
          <w:rFonts w:hint="eastAsia" w:ascii="仿宋_GB2312" w:hAnsi="ˎ̥" w:eastAsia="仿宋_GB2312"/>
          <w:sz w:val="32"/>
          <w:szCs w:val="32"/>
        </w:rPr>
        <w:t>财政拨款年初结转结余</w:t>
      </w:r>
      <w:r>
        <w:rPr>
          <w:rFonts w:hint="eastAsia" w:ascii="仿宋_GB2312" w:hAnsi="ˎ̥" w:eastAsia="仿宋_GB2312"/>
          <w:sz w:val="32"/>
          <w:szCs w:val="32"/>
          <w:lang w:eastAsia="zh-CN"/>
        </w:rPr>
        <w:t>也是</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eastAsia="zh-CN"/>
        </w:rPr>
        <w:t>、无增加减少。</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财政拨款年末结转结余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eastAsia="zh-CN"/>
        </w:rPr>
        <w:t>2024</w:t>
      </w:r>
      <w:r>
        <w:rPr>
          <w:rFonts w:hint="eastAsia" w:ascii="仿宋_GB2312" w:hAnsi="ˎ̥" w:eastAsia="仿宋_GB2312"/>
          <w:sz w:val="32"/>
          <w:szCs w:val="32"/>
        </w:rPr>
        <w:t>年度决算数增加财政拨款年末结转结余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9989_WPSOffice_Level2"/>
      <w:bookmarkStart w:id="78" w:name="_Toc17398_WPSOffice_Level2"/>
      <w:bookmarkStart w:id="79" w:name="_Toc23005_WPSOffice_Level2"/>
      <w:bookmarkStart w:id="80" w:name="_Toc19665_WPSOffice_Level2"/>
      <w:bookmarkStart w:id="81" w:name="_Toc21737_WPSOffice_Level2"/>
      <w:bookmarkStart w:id="82" w:name="_Toc13694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pPr>
        <w:spacing w:line="578" w:lineRule="exact"/>
        <w:ind w:firstLine="640" w:firstLineChars="200"/>
        <w:rPr>
          <w:rFonts w:hint="eastAsia" w:ascii="仿宋_GB2312" w:hAnsi="ˎ̥" w:eastAsia="仿宋_GB2312"/>
          <w:b/>
          <w:bCs/>
          <w:sz w:val="32"/>
          <w:szCs w:val="32"/>
          <w:lang w:val="en-US" w:eastAsia="zh-CN"/>
        </w:rPr>
      </w:pPr>
      <w:r>
        <w:rPr>
          <w:rFonts w:hint="default" w:ascii="仿宋_GB2312" w:hAnsi="ˎ̥" w:eastAsia="仿宋_GB2312"/>
          <w:sz w:val="32"/>
          <w:szCs w:val="32"/>
          <w:lang w:val="en-US"/>
        </w:rPr>
        <w:t>2025</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97.8</w:t>
      </w:r>
      <w:r>
        <w:rPr>
          <w:rFonts w:hint="eastAsia"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年度相比，一般公共预算财政拨款支出增加</w:t>
      </w:r>
      <w:r>
        <w:rPr>
          <w:rFonts w:hint="eastAsia" w:ascii="仿宋_GB2312" w:hAnsi="ˎ̥" w:eastAsia="仿宋_GB2312"/>
          <w:sz w:val="32"/>
          <w:szCs w:val="32"/>
          <w:lang w:val="en-US" w:eastAsia="zh-CN"/>
        </w:rPr>
        <w:t>78.91</w:t>
      </w:r>
      <w:r>
        <w:rPr>
          <w:rFonts w:hint="eastAsia" w:ascii="仿宋_GB2312" w:hAnsi="ˎ̥" w:eastAsia="仿宋_GB2312"/>
          <w:sz w:val="32"/>
          <w:szCs w:val="32"/>
        </w:rPr>
        <w:t>万元，增长</w:t>
      </w:r>
      <w:r>
        <w:rPr>
          <w:rFonts w:hint="eastAsia" w:ascii="仿宋_GB2312" w:hAnsi="ˎ̥" w:eastAsia="仿宋_GB2312"/>
          <w:sz w:val="32"/>
          <w:szCs w:val="32"/>
          <w:lang w:val="en-US" w:eastAsia="zh-CN"/>
        </w:rPr>
        <w:t>7.5</w:t>
      </w:r>
      <w:r>
        <w:rPr>
          <w:rFonts w:hint="eastAsia" w:ascii="仿宋_GB2312" w:hAnsi="ˎ̥" w:eastAsia="仿宋_GB2312"/>
          <w:sz w:val="32"/>
          <w:szCs w:val="32"/>
        </w:rPr>
        <w:t>%，主要原因是</w:t>
      </w:r>
      <w:bookmarkStart w:id="83" w:name="_Toc2711_WPSOffice_Level2"/>
      <w:bookmarkStart w:id="84" w:name="_Toc19075_WPSOffice_Level2"/>
      <w:bookmarkStart w:id="85" w:name="_Toc27767_WPSOffice_Level2"/>
      <w:bookmarkStart w:id="86" w:name="_Toc23864_WPSOffice_Level2"/>
      <w:bookmarkStart w:id="87" w:name="_Toc18793_WPSOffice_Level2"/>
      <w:bookmarkStart w:id="88" w:name="_Toc19535_WPSOffice_Level2"/>
      <w:r>
        <w:rPr>
          <w:rFonts w:hint="eastAsia" w:ascii="仿宋_GB2312" w:hAnsi="ˎ̥" w:eastAsia="仿宋_GB2312"/>
          <w:sz w:val="32"/>
          <w:szCs w:val="32"/>
        </w:rPr>
        <w:t>：一是</w:t>
      </w:r>
      <w:r>
        <w:rPr>
          <w:rFonts w:hint="eastAsia" w:ascii="仿宋_GB2312" w:hAnsi="ˎ̥" w:eastAsia="仿宋_GB2312"/>
          <w:sz w:val="32"/>
          <w:szCs w:val="32"/>
          <w:lang w:val="en-US" w:eastAsia="zh-CN"/>
        </w:rPr>
        <w:t>2025年驻村相关经费预算直接下达至本院、往年直接没有预算</w:t>
      </w:r>
      <w:r>
        <w:rPr>
          <w:rFonts w:hint="eastAsia" w:ascii="仿宋_GB2312" w:hAnsi="ˎ̥" w:eastAsia="仿宋_GB2312"/>
          <w:sz w:val="32"/>
          <w:szCs w:val="32"/>
        </w:rPr>
        <w:t>；二是</w:t>
      </w:r>
      <w:r>
        <w:rPr>
          <w:rFonts w:hint="eastAsia" w:ascii="仿宋_GB2312" w:hAnsi="ˎ̥" w:eastAsia="仿宋_GB2312"/>
          <w:sz w:val="32"/>
          <w:szCs w:val="32"/>
          <w:lang w:val="en-US" w:eastAsia="zh-CN"/>
        </w:rPr>
        <w:t>人员工资、转移支付资金等预算变动了、还增加了一次休假探亲费等。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pPr>
        <w:spacing w:line="578" w:lineRule="exact"/>
        <w:ind w:firstLine="640" w:firstLineChars="200"/>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万元，主要用于以下方面：</w:t>
      </w:r>
      <w:r>
        <w:rPr>
          <w:rFonts w:hint="eastAsia" w:ascii="仿宋_GB2312" w:hAnsi="ˎ̥" w:eastAsia="仿宋_GB2312"/>
          <w:b/>
          <w:sz w:val="32"/>
          <w:szCs w:val="32"/>
        </w:rPr>
        <w:t>一般公共服务（类）</w:t>
      </w:r>
      <w:r>
        <w:rPr>
          <w:rFonts w:hint="eastAsia" w:ascii="仿宋_GB2312" w:hAnsi="ˎ̥" w:eastAsia="仿宋_GB2312"/>
          <w:sz w:val="32"/>
          <w:szCs w:val="32"/>
        </w:rPr>
        <w:t>支出</w:t>
      </w:r>
      <w:r>
        <w:rPr>
          <w:rFonts w:hint="default" w:ascii="仿宋_GB2312" w:hAnsi="ˎ̥" w:eastAsia="仿宋_GB2312"/>
          <w:color w:val="FF0000"/>
          <w:sz w:val="32"/>
          <w:szCs w:val="32"/>
          <w:lang w:val="en-US"/>
        </w:rPr>
        <w:t>9.38</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0.83</w:t>
      </w:r>
      <w:r>
        <w:rPr>
          <w:rFonts w:hint="eastAsia" w:ascii="仿宋_GB2312" w:hAnsi="ˎ̥" w:eastAsia="仿宋_GB2312"/>
          <w:sz w:val="32"/>
          <w:szCs w:val="32"/>
        </w:rPr>
        <w:t>%；</w:t>
      </w:r>
      <w:r>
        <w:rPr>
          <w:rFonts w:hint="eastAsia" w:ascii="仿宋_GB2312" w:hAnsi="ˎ̥" w:eastAsia="仿宋_GB2312" w:cs="Times New Roman"/>
          <w:b/>
          <w:sz w:val="32"/>
          <w:szCs w:val="32"/>
        </w:rPr>
        <w:t>公共安全</w:t>
      </w:r>
      <w:r>
        <w:rPr>
          <w:rFonts w:hint="eastAsia" w:ascii="仿宋_GB2312" w:hAnsi="ˎ̥" w:eastAsia="仿宋_GB2312"/>
          <w:b/>
          <w:sz w:val="32"/>
          <w:szCs w:val="32"/>
        </w:rPr>
        <w:t>（类）</w:t>
      </w:r>
      <w:r>
        <w:rPr>
          <w:rFonts w:hint="eastAsia" w:ascii="仿宋_GB2312" w:hAnsi="ˎ̥" w:eastAsia="仿宋_GB2312"/>
          <w:sz w:val="32"/>
          <w:szCs w:val="32"/>
        </w:rPr>
        <w:t>支出</w:t>
      </w:r>
      <w:r>
        <w:rPr>
          <w:rFonts w:hint="eastAsia" w:ascii="仿宋_GB2312" w:hAnsi="ˎ̥" w:eastAsia="仿宋_GB2312"/>
          <w:sz w:val="32"/>
          <w:szCs w:val="32"/>
          <w:lang w:val="en-US" w:eastAsia="zh-CN"/>
        </w:rPr>
        <w:t>954.82</w:t>
      </w:r>
      <w:r>
        <w:rPr>
          <w:rFonts w:hint="eastAsia" w:ascii="仿宋_GB2312" w:hAnsi="ˎ̥" w:eastAsia="仿宋_GB2312"/>
          <w:sz w:val="32"/>
          <w:szCs w:val="32"/>
          <w:lang w:eastAsia="zh-CN"/>
        </w:rPr>
        <w:t>万元，</w:t>
      </w:r>
      <w:r>
        <w:rPr>
          <w:rFonts w:hint="eastAsia" w:ascii="仿宋_GB2312" w:hAnsi="ˎ̥" w:eastAsia="仿宋_GB2312"/>
          <w:sz w:val="32"/>
          <w:szCs w:val="32"/>
        </w:rPr>
        <w:t>占</w:t>
      </w:r>
      <w:r>
        <w:rPr>
          <w:rFonts w:hint="eastAsia" w:ascii="仿宋_GB2312" w:hAnsi="ˎ̥" w:eastAsia="仿宋_GB2312"/>
          <w:color w:val="FF0000"/>
          <w:sz w:val="32"/>
          <w:szCs w:val="32"/>
          <w:lang w:val="en-US" w:eastAsia="zh-CN"/>
        </w:rPr>
        <w:t>84.2</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79.69</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7.02</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cs="Times New Roman"/>
          <w:b/>
          <w:sz w:val="32"/>
          <w:szCs w:val="32"/>
          <w:lang w:eastAsia="zh-CN"/>
        </w:rPr>
        <w:t>卫生健康</w:t>
      </w:r>
      <w:r>
        <w:rPr>
          <w:rFonts w:hint="eastAsia" w:ascii="仿宋_GB2312" w:hAnsi="ˎ̥" w:eastAsia="仿宋_GB2312"/>
          <w:b/>
          <w:sz w:val="32"/>
          <w:szCs w:val="32"/>
        </w:rPr>
        <w:t>（类）</w:t>
      </w:r>
      <w:r>
        <w:rPr>
          <w:rFonts w:hint="eastAsia" w:ascii="仿宋_GB2312" w:hAnsi="ˎ̥" w:eastAsia="仿宋_GB2312" w:cs="Times New Roman"/>
          <w:b/>
          <w:sz w:val="32"/>
          <w:szCs w:val="32"/>
          <w:lang w:eastAsia="zh-CN"/>
        </w:rPr>
        <w:t>支出</w:t>
      </w:r>
      <w:r>
        <w:rPr>
          <w:rFonts w:hint="eastAsia" w:ascii="仿宋_GB2312" w:hAnsi="ˎ̥" w:eastAsia="仿宋_GB2312" w:cs="Times New Roman"/>
          <w:b/>
          <w:sz w:val="32"/>
          <w:szCs w:val="32"/>
          <w:lang w:val="en-US" w:eastAsia="zh-CN"/>
        </w:rPr>
        <w:t>54.9万元，</w:t>
      </w:r>
      <w:r>
        <w:rPr>
          <w:rFonts w:hint="eastAsia" w:ascii="仿宋_GB2312" w:hAnsi="ˎ̥" w:eastAsia="仿宋_GB2312"/>
          <w:sz w:val="32"/>
          <w:szCs w:val="32"/>
        </w:rPr>
        <w:t>占</w:t>
      </w:r>
      <w:r>
        <w:rPr>
          <w:rFonts w:hint="eastAsia" w:ascii="仿宋_GB2312" w:hAnsi="ˎ̥" w:eastAsia="仿宋_GB2312"/>
          <w:sz w:val="32"/>
          <w:szCs w:val="32"/>
          <w:lang w:val="en-US" w:eastAsia="zh-CN"/>
        </w:rPr>
        <w:t>4.8</w:t>
      </w:r>
      <w:r>
        <w:rPr>
          <w:rFonts w:hint="eastAsia" w:ascii="仿宋_GB2312" w:hAnsi="ˎ̥" w:eastAsia="仿宋_GB2312"/>
          <w:sz w:val="32"/>
          <w:szCs w:val="32"/>
        </w:rPr>
        <w:t>%；</w:t>
      </w:r>
      <w:r>
        <w:rPr>
          <w:rFonts w:hint="eastAsia" w:ascii="仿宋_GB2312" w:hAnsi="ˎ̥" w:eastAsia="仿宋_GB2312"/>
          <w:b/>
          <w:bCs/>
          <w:sz w:val="32"/>
          <w:szCs w:val="32"/>
        </w:rPr>
        <w:t>住房保障（类）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60.69</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5.4</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2318_WPSOffice_Level2"/>
      <w:bookmarkStart w:id="90" w:name="_Toc29364_WPSOffice_Level2"/>
      <w:bookmarkStart w:id="91" w:name="_Toc9502_WPSOffice_Level2"/>
      <w:bookmarkStart w:id="92" w:name="_Toc21701_WPSOffice_Level2"/>
      <w:bookmarkStart w:id="93" w:name="_Toc15415_WPSOffice_Level2"/>
      <w:bookmarkStart w:id="94" w:name="_Toc25136_WPSOffice_Level2"/>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年度一般公共预算财政拨款支出年初预算为</w:t>
      </w:r>
      <w:r>
        <w:rPr>
          <w:rFonts w:hint="eastAsia" w:ascii="仿宋_GB2312" w:hAnsi="ˎ̥" w:eastAsia="仿宋_GB2312"/>
          <w:color w:val="FF0000"/>
          <w:sz w:val="32"/>
          <w:szCs w:val="32"/>
          <w:lang w:val="en-US" w:eastAsia="zh-CN"/>
        </w:rPr>
        <w:t>1134.16</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1,134.16</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%。其中：</w:t>
      </w:r>
    </w:p>
    <w:p>
      <w:pPr>
        <w:spacing w:line="578" w:lineRule="exact"/>
        <w:ind w:firstLine="640" w:firstLineChars="200"/>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公共安全支出（类）</w:t>
      </w:r>
      <w:r>
        <w:rPr>
          <w:rFonts w:hint="eastAsia" w:ascii="仿宋_GB2312" w:hAnsi="ˎ̥" w:eastAsia="仿宋_GB2312"/>
          <w:b/>
          <w:sz w:val="32"/>
          <w:szCs w:val="32"/>
          <w:lang w:eastAsia="zh-CN"/>
        </w:rPr>
        <w:t>检察</w:t>
      </w:r>
      <w:r>
        <w:rPr>
          <w:rFonts w:hint="eastAsia" w:ascii="仿宋_GB2312" w:hAnsi="ˎ̥" w:eastAsia="仿宋_GB2312"/>
          <w:b/>
          <w:sz w:val="32"/>
          <w:szCs w:val="32"/>
        </w:rPr>
        <w:t>（款）行政运行（项）。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819.38</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819.38</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2</w:t>
      </w:r>
      <w:r>
        <w:rPr>
          <w:rFonts w:hint="eastAsia" w:ascii="仿宋_GB2312" w:hAnsi="ˎ̥" w:eastAsia="仿宋_GB2312"/>
          <w:sz w:val="32"/>
          <w:szCs w:val="32"/>
        </w:rPr>
        <w:t>.</w:t>
      </w:r>
      <w:r>
        <w:rPr>
          <w:rFonts w:hint="eastAsia" w:ascii="仿宋_GB2312" w:hAnsi="ˎ̥" w:eastAsia="仿宋_GB2312"/>
          <w:b/>
          <w:sz w:val="32"/>
          <w:szCs w:val="32"/>
        </w:rPr>
        <w:t>公共安全支出（类）</w:t>
      </w:r>
      <w:r>
        <w:rPr>
          <w:rFonts w:hint="eastAsia" w:ascii="仿宋_GB2312" w:hAnsi="ˎ̥" w:eastAsia="仿宋_GB2312"/>
          <w:b/>
          <w:sz w:val="32"/>
          <w:szCs w:val="32"/>
          <w:lang w:eastAsia="zh-CN"/>
        </w:rPr>
        <w:t>检察</w:t>
      </w:r>
      <w:r>
        <w:rPr>
          <w:rFonts w:hint="eastAsia" w:ascii="仿宋_GB2312" w:hAnsi="ˎ̥" w:eastAsia="仿宋_GB2312"/>
          <w:b/>
          <w:sz w:val="32"/>
          <w:szCs w:val="32"/>
        </w:rPr>
        <w:t>（款）其他检察支出（项）。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110.12</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110.12</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3</w:t>
      </w:r>
      <w:r>
        <w:rPr>
          <w:rFonts w:hint="eastAsia" w:ascii="仿宋_GB2312" w:hAnsi="ˎ̥" w:eastAsia="仿宋_GB2312"/>
          <w:sz w:val="32"/>
          <w:szCs w:val="32"/>
        </w:rPr>
        <w:t>.</w:t>
      </w:r>
      <w:r>
        <w:rPr>
          <w:rFonts w:hint="eastAsia" w:ascii="仿宋_GB2312" w:hAnsi="ˎ̥" w:eastAsia="仿宋_GB2312"/>
          <w:b/>
          <w:sz w:val="32"/>
          <w:szCs w:val="32"/>
        </w:rPr>
        <w:t>社会保障和就业支出（类）</w:t>
      </w:r>
      <w:r>
        <w:rPr>
          <w:rFonts w:hint="eastAsia" w:ascii="仿宋_GB2312" w:hAnsi="ˎ̥" w:eastAsia="仿宋_GB2312"/>
          <w:b/>
          <w:sz w:val="32"/>
          <w:szCs w:val="32"/>
          <w:lang w:eastAsia="zh-CN"/>
        </w:rPr>
        <w:t>行政事业单位养老支出</w:t>
      </w:r>
      <w:r>
        <w:rPr>
          <w:rFonts w:hint="eastAsia" w:ascii="仿宋_GB2312" w:hAnsi="ˎ̥" w:eastAsia="仿宋_GB2312"/>
          <w:b/>
          <w:sz w:val="32"/>
          <w:szCs w:val="32"/>
        </w:rPr>
        <w:t>（款）机关事业单位基本养老保险缴费支出（项）。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79.69</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79.69</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4</w:t>
      </w:r>
      <w:r>
        <w:rPr>
          <w:rFonts w:hint="eastAsia" w:ascii="仿宋_GB2312" w:hAnsi="ˎ̥" w:eastAsia="仿宋_GB2312"/>
          <w:sz w:val="32"/>
          <w:szCs w:val="32"/>
        </w:rPr>
        <w:t>.</w:t>
      </w:r>
      <w:r>
        <w:rPr>
          <w:rFonts w:hint="eastAsia" w:ascii="仿宋_GB2312" w:hAnsi="ˎ̥" w:eastAsia="仿宋_GB2312"/>
          <w:b/>
          <w:sz w:val="32"/>
          <w:szCs w:val="32"/>
        </w:rPr>
        <w:t>卫生健康支出（类）行政事业单位医疗（款）行政单位医疗（项）。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38.94</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38.94</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b/>
          <w:sz w:val="32"/>
          <w:szCs w:val="32"/>
        </w:rPr>
      </w:pPr>
      <w:r>
        <w:rPr>
          <w:rFonts w:hint="eastAsia" w:ascii="仿宋_GB2312" w:hAnsi="ˎ̥" w:eastAsia="仿宋_GB2312"/>
          <w:sz w:val="32"/>
          <w:szCs w:val="32"/>
          <w:lang w:val="en-US" w:eastAsia="zh-CN"/>
        </w:rPr>
        <w:t>5</w:t>
      </w:r>
      <w:r>
        <w:rPr>
          <w:rFonts w:hint="eastAsia" w:ascii="仿宋_GB2312" w:hAnsi="ˎ̥" w:eastAsia="仿宋_GB2312"/>
          <w:sz w:val="32"/>
          <w:szCs w:val="32"/>
        </w:rPr>
        <w:t>.</w:t>
      </w:r>
      <w:r>
        <w:rPr>
          <w:rFonts w:hint="eastAsia" w:ascii="仿宋_GB2312" w:hAnsi="ˎ̥" w:eastAsia="仿宋_GB2312"/>
          <w:b/>
          <w:sz w:val="32"/>
          <w:szCs w:val="32"/>
        </w:rPr>
        <w:t>卫生健康支出（类）行政事业单位医疗（款）公务员医疗补助（项）。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9.3</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9.3</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numPr>
          <w:numId w:val="0"/>
        </w:numPr>
        <w:spacing w:line="578" w:lineRule="exact"/>
        <w:ind w:left="630" w:leftChars="0"/>
        <w:rPr>
          <w:rFonts w:hint="eastAsia" w:ascii="仿宋_GB2312" w:hAnsi="ˎ̥" w:eastAsia="仿宋_GB2312"/>
          <w:b/>
          <w:bCs w:val="0"/>
          <w:sz w:val="32"/>
          <w:szCs w:val="32"/>
          <w:lang w:val="en-US" w:eastAsia="zh-CN"/>
        </w:rPr>
      </w:pPr>
      <w:r>
        <w:rPr>
          <w:rFonts w:hint="eastAsia" w:ascii="仿宋_GB2312" w:hAnsi="ˎ̥" w:eastAsia="仿宋_GB2312"/>
          <w:b/>
          <w:bCs w:val="0"/>
          <w:sz w:val="32"/>
          <w:szCs w:val="32"/>
          <w:lang w:val="en-US" w:eastAsia="zh-CN"/>
        </w:rPr>
        <w:t>6.</w:t>
      </w:r>
      <w:r>
        <w:rPr>
          <w:rFonts w:hint="eastAsia" w:ascii="仿宋_GB2312" w:hAnsi="ˎ̥" w:eastAsia="仿宋_GB2312"/>
          <w:b/>
          <w:bCs w:val="0"/>
          <w:sz w:val="32"/>
          <w:szCs w:val="32"/>
        </w:rPr>
        <w:t>卫生健康支出（类）行政事业单位医疗（款）</w:t>
      </w:r>
      <w:r>
        <w:rPr>
          <w:rFonts w:hint="eastAsia" w:ascii="仿宋_GB2312" w:hAnsi="ˎ̥" w:eastAsia="仿宋_GB2312"/>
          <w:b/>
          <w:bCs w:val="0"/>
          <w:sz w:val="32"/>
          <w:szCs w:val="32"/>
          <w:lang w:val="en-US" w:eastAsia="zh-CN"/>
        </w:rPr>
        <w:t>其他行政事业单位医疗支出（项）</w:t>
      </w:r>
    </w:p>
    <w:p>
      <w:pPr>
        <w:spacing w:line="578" w:lineRule="exact"/>
        <w:ind w:firstLine="640" w:firstLineChars="200"/>
        <w:rPr>
          <w:rFonts w:hint="default" w:ascii="仿宋_GB2312" w:hAnsi="ˎ̥" w:eastAsia="仿宋_GB2312"/>
          <w:b/>
          <w:bCs w:val="0"/>
          <w:sz w:val="32"/>
          <w:szCs w:val="32"/>
          <w:lang w:val="en-US"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6.66</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6.66</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val="en-US" w:eastAsia="zh-CN"/>
        </w:rPr>
        <w:t>7</w:t>
      </w:r>
      <w:r>
        <w:rPr>
          <w:rFonts w:hint="eastAsia" w:ascii="仿宋_GB2312" w:hAnsi="ˎ̥" w:eastAsia="仿宋_GB2312"/>
          <w:sz w:val="32"/>
          <w:szCs w:val="32"/>
        </w:rPr>
        <w:t>.</w:t>
      </w:r>
      <w:r>
        <w:rPr>
          <w:rFonts w:hint="eastAsia" w:ascii="仿宋_GB2312" w:hAnsi="ˎ̥" w:eastAsia="仿宋_GB2312"/>
          <w:sz w:val="32"/>
          <w:szCs w:val="32"/>
          <w:lang w:eastAsia="zh-CN"/>
        </w:rPr>
        <w:t>住房保障支出</w:t>
      </w:r>
    </w:p>
    <w:p>
      <w:pPr>
        <w:spacing w:line="578" w:lineRule="exact"/>
        <w:ind w:firstLine="643" w:firstLineChars="200"/>
        <w:rPr>
          <w:rFonts w:hint="eastAsia" w:ascii="仿宋_GB2312" w:hAnsi="ˎ̥" w:eastAsia="仿宋_GB2312"/>
          <w:b/>
          <w:sz w:val="32"/>
          <w:szCs w:val="32"/>
        </w:rPr>
      </w:pPr>
      <w:r>
        <w:rPr>
          <w:rFonts w:hint="eastAsia" w:ascii="仿宋_GB2312" w:hAnsi="ˎ̥" w:eastAsia="仿宋_GB2312" w:cs="Times New Roman"/>
          <w:b/>
          <w:sz w:val="32"/>
          <w:szCs w:val="32"/>
          <w:lang w:eastAsia="zh-CN"/>
        </w:rPr>
        <w:t>住房保障支出</w:t>
      </w:r>
      <w:r>
        <w:rPr>
          <w:rFonts w:hint="eastAsia" w:ascii="仿宋_GB2312" w:hAnsi="ˎ̥" w:eastAsia="仿宋_GB2312"/>
          <w:b/>
          <w:sz w:val="32"/>
          <w:szCs w:val="32"/>
        </w:rPr>
        <w:t>（类）住房改革支出（款）住房公积金（项）。</w:t>
      </w:r>
    </w:p>
    <w:p>
      <w:p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60.69</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60.69</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numPr>
          <w:ilvl w:val="0"/>
          <w:numId w:val="3"/>
        </w:numPr>
        <w:spacing w:line="578" w:lineRule="exact"/>
        <w:ind w:firstLine="643" w:firstLineChars="200"/>
        <w:rPr>
          <w:rFonts w:hint="eastAsia" w:ascii="仿宋_GB2312" w:hAnsi="ˎ̥" w:eastAsia="仿宋_GB2312" w:cs="Times New Roman"/>
          <w:b/>
          <w:bCs/>
          <w:sz w:val="32"/>
          <w:szCs w:val="32"/>
          <w:lang w:val="en-US" w:eastAsia="zh-CN"/>
        </w:rPr>
      </w:pPr>
      <w:r>
        <w:rPr>
          <w:rFonts w:hint="eastAsia" w:ascii="仿宋_GB2312" w:hAnsi="ˎ̥" w:eastAsia="仿宋_GB2312" w:cs="Times New Roman"/>
          <w:b/>
          <w:bCs/>
          <w:sz w:val="32"/>
          <w:szCs w:val="32"/>
          <w:lang w:val="en-US" w:eastAsia="zh-CN"/>
        </w:rPr>
        <w:t>一般公共服务支出（类）组织事务（款）其他组织事务支出（项）。</w:t>
      </w:r>
    </w:p>
    <w:p>
      <w:pPr>
        <w:numPr>
          <w:ilvl w:val="0"/>
          <w:numId w:val="0"/>
        </w:numPr>
        <w:spacing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年初预算为</w:t>
      </w:r>
      <w:r>
        <w:rPr>
          <w:rFonts w:hint="eastAsia" w:ascii="仿宋_GB2312" w:hAnsi="ˎ̥" w:eastAsia="仿宋_GB2312"/>
          <w:color w:val="FF0000"/>
          <w:sz w:val="32"/>
          <w:szCs w:val="32"/>
          <w:lang w:val="en-US" w:eastAsia="zh-CN"/>
        </w:rPr>
        <w:t>9.38</w:t>
      </w:r>
      <w:r>
        <w:rPr>
          <w:rFonts w:hint="eastAsia" w:ascii="仿宋_GB2312" w:hAnsi="ˎ̥" w:eastAsia="仿宋_GB2312"/>
          <w:sz w:val="32"/>
          <w:szCs w:val="32"/>
        </w:rPr>
        <w:t>万元，支出决算为</w:t>
      </w:r>
      <w:r>
        <w:rPr>
          <w:rFonts w:hint="eastAsia" w:ascii="仿宋_GB2312" w:hAnsi="ˎ̥" w:eastAsia="仿宋_GB2312"/>
          <w:color w:val="FF0000"/>
          <w:sz w:val="32"/>
          <w:szCs w:val="32"/>
          <w:lang w:val="en-US" w:eastAsia="zh-CN"/>
        </w:rPr>
        <w:t>9.38</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%。决算数</w:t>
      </w:r>
      <w:r>
        <w:rPr>
          <w:rFonts w:hint="eastAsia" w:ascii="仿宋_GB2312" w:hAnsi="ˎ̥" w:eastAsia="仿宋_GB2312"/>
          <w:sz w:val="32"/>
          <w:szCs w:val="32"/>
          <w:lang w:eastAsia="zh-CN"/>
        </w:rPr>
        <w:t>等于</w:t>
      </w:r>
      <w:r>
        <w:rPr>
          <w:rFonts w:hint="eastAsia" w:ascii="仿宋_GB2312" w:hAnsi="ˎ̥" w:eastAsia="仿宋_GB2312"/>
          <w:sz w:val="32"/>
          <w:szCs w:val="32"/>
        </w:rPr>
        <w:t>预算数</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本部分支出决算数可取自财决公开05表，年初预算数可取自各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单位年初预算大本，根据实际支出涉及的支出功能分类项级科目填列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年度财政拨款基本支出</w:t>
      </w:r>
      <w:r>
        <w:rPr>
          <w:rFonts w:hint="eastAsia" w:ascii="仿宋_GB2312" w:hAnsi="ˎ̥" w:eastAsia="仿宋_GB2312"/>
          <w:color w:val="FF0000"/>
          <w:sz w:val="32"/>
          <w:szCs w:val="32"/>
          <w:lang w:val="en-US"/>
        </w:rPr>
        <w:t>1,016.37</w:t>
      </w:r>
      <w:r>
        <w:rPr>
          <w:rFonts w:hint="eastAsia" w:ascii="仿宋_GB2312" w:hAnsi="ˎ̥" w:eastAsia="仿宋_GB2312"/>
          <w:sz w:val="32"/>
          <w:szCs w:val="32"/>
        </w:rPr>
        <w:t>万元，其中：人员经费</w:t>
      </w:r>
      <w:r>
        <w:rPr>
          <w:rFonts w:ascii="仿宋_GB2312" w:hAnsi="ˎ̥" w:eastAsia="仿宋_GB2312"/>
          <w:color w:val="FF0000"/>
          <w:sz w:val="32"/>
          <w:szCs w:val="32"/>
          <w:lang w:val="en-US"/>
        </w:rPr>
        <w:t>947.20</w:t>
      </w:r>
      <w:r>
        <w:rPr>
          <w:rFonts w:hint="eastAsia" w:ascii="仿宋_GB2312" w:hAnsi="ˎ̥" w:eastAsia="仿宋_GB2312"/>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w:t>
      </w:r>
      <w:r>
        <w:rPr>
          <w:rFonts w:ascii="仿宋_GB2312" w:hAnsi="ˎ̥" w:eastAsia="仿宋_GB2312"/>
          <w:color w:val="FF0000"/>
          <w:sz w:val="32"/>
          <w:szCs w:val="32"/>
          <w:lang w:val="en-US"/>
        </w:rPr>
        <w:t>69.16</w:t>
      </w:r>
      <w:r>
        <w:rPr>
          <w:rFonts w:hint="eastAsia" w:ascii="仿宋_GB2312" w:hAnsi="ˎ̥" w:eastAsia="仿宋_GB2312"/>
          <w:sz w:val="32"/>
          <w:szCs w:val="32"/>
        </w:rPr>
        <w:t>万元，主要包括：商品和服务支出中的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w:t>
      </w:r>
      <w:r>
        <w:rPr>
          <w:rFonts w:hint="eastAsia" w:ascii="仿宋_GB2312" w:hAnsi="ˎ̥" w:eastAsia="仿宋_GB2312"/>
          <w:sz w:val="32"/>
          <w:szCs w:val="32"/>
          <w:lang w:val="en-US" w:eastAsia="zh-CN"/>
        </w:rPr>
        <w:t>购</w:t>
      </w:r>
      <w:r>
        <w:rPr>
          <w:rFonts w:hint="eastAsia" w:ascii="仿宋_GB2312" w:hAnsi="ˎ̥" w:eastAsia="仿宋_GB2312"/>
          <w:sz w:val="32"/>
          <w:szCs w:val="32"/>
        </w:rPr>
        <w:t>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w:t>
      </w:r>
      <w:r>
        <w:rPr>
          <w:rFonts w:hint="eastAsia" w:ascii="仿宋_GB2312" w:hAnsi="ˎ̥" w:eastAsia="仿宋_GB2312"/>
          <w:sz w:val="32"/>
          <w:szCs w:val="32"/>
          <w:lang w:val="en-US" w:eastAsia="zh-CN"/>
        </w:rPr>
        <w:t>数据</w:t>
      </w:r>
      <w:r>
        <w:rPr>
          <w:rFonts w:hint="eastAsia" w:ascii="仿宋_GB2312" w:hAnsi="ˎ̥" w:eastAsia="仿宋_GB2312"/>
          <w:sz w:val="32"/>
          <w:szCs w:val="32"/>
        </w:rPr>
        <w:t>可取自财决公开06表，各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单位根据实际支出情况，选列相应支出经济分类。）</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pPr>
        <w:spacing w:line="578" w:lineRule="exact"/>
        <w:ind w:firstLine="640" w:firstLineChars="200"/>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年度政府性基金预算财政拨款支出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2024</w:t>
      </w:r>
      <w:r>
        <w:rPr>
          <w:rFonts w:hint="eastAsia" w:ascii="仿宋_GB2312" w:hAnsi="ˎ̥" w:eastAsia="仿宋_GB2312"/>
          <w:sz w:val="32"/>
          <w:szCs w:val="32"/>
        </w:rPr>
        <w:t>年度相比，政府性基金预算财政拨款支出增加（减少）</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万元，增长（下降）</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2025</w:t>
      </w:r>
      <w:r>
        <w:rPr>
          <w:rFonts w:hint="eastAsia" w:ascii="仿宋_GB2312" w:hAnsi="ˎ̥" w:eastAsia="仿宋_GB2312"/>
          <w:sz w:val="32"/>
          <w:szCs w:val="32"/>
        </w:rPr>
        <w:t>年度政府性基金预算财政拨款支出</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p>
    <w:p>
      <w:pPr>
        <w:spacing w:line="578"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pPr>
        <w:tabs>
          <w:tab w:val="center" w:pos="4473"/>
        </w:tabs>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2025</w:t>
      </w:r>
      <w:r>
        <w:rPr>
          <w:rFonts w:hint="eastAsia" w:ascii="仿宋_GB2312" w:hAnsi="ˎ̥" w:eastAsia="仿宋_GB2312"/>
          <w:sz w:val="32"/>
          <w:szCs w:val="32"/>
        </w:rPr>
        <w:t>年度政府性基金预算财政拨款支出年初预算为</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p>
    <w:p>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2025</w:t>
      </w:r>
      <w:r>
        <w:rPr>
          <w:rFonts w:hint="eastAsia" w:ascii="仿宋_GB2312" w:hAnsi="ˎ̥" w:eastAsia="仿宋_GB2312"/>
          <w:sz w:val="32"/>
          <w:szCs w:val="32"/>
        </w:rPr>
        <w:t>年度国有资本经营预算财政拨款支出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2024</w:t>
      </w:r>
      <w:r>
        <w:rPr>
          <w:rFonts w:hint="eastAsia" w:ascii="仿宋_GB2312" w:hAnsi="ˎ̥" w:eastAsia="仿宋_GB2312"/>
          <w:sz w:val="32"/>
          <w:szCs w:val="32"/>
        </w:rPr>
        <w:t>年度相比，国有资本经营预算财政拨款支出增加（减少）</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2025</w:t>
      </w:r>
      <w:r>
        <w:rPr>
          <w:rFonts w:hint="eastAsia" w:ascii="仿宋_GB2312" w:hAnsi="ˎ̥" w:eastAsia="仿宋_GB2312"/>
          <w:sz w:val="32"/>
          <w:szCs w:val="32"/>
        </w:rPr>
        <w:t>年度国有资本经营预算财政拨款支出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spacing w:line="578"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tabs>
          <w:tab w:val="center" w:pos="4473"/>
        </w:tabs>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2025</w:t>
      </w:r>
      <w:r>
        <w:rPr>
          <w:rFonts w:hint="eastAsia" w:ascii="仿宋_GB2312" w:hAnsi="ˎ̥" w:eastAsia="仿宋_GB2312"/>
          <w:sz w:val="32"/>
          <w:szCs w:val="32"/>
        </w:rPr>
        <w:t>年度国有资本经营预算财政拨款支出年初预算为</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w:t>
      </w:r>
      <w:r>
        <w:rPr>
          <w:rFonts w:hint="default" w:ascii="仿宋_GB2312" w:hAnsi="ˎ̥" w:eastAsia="仿宋_GB2312"/>
          <w:sz w:val="32"/>
          <w:szCs w:val="32"/>
          <w:lang w:val="en-US"/>
        </w:rPr>
        <w:t>2025</w:t>
      </w:r>
      <w:r>
        <w:rPr>
          <w:rFonts w:hint="eastAsia" w:ascii="仿宋_GB2312" w:hAnsi="ˎ̥" w:eastAsia="仿宋_GB2312"/>
          <w:sz w:val="32"/>
          <w:szCs w:val="32"/>
        </w:rPr>
        <w:t>年度财政拨款“三公”经费支出预算为</w:t>
      </w:r>
      <w:r>
        <w:rPr>
          <w:rFonts w:hint="default" w:ascii="仿宋_GB2312" w:hAnsi="ˎ̥" w:eastAsia="仿宋_GB2312"/>
          <w:color w:val="FF0000"/>
          <w:sz w:val="32"/>
          <w:szCs w:val="32"/>
          <w:lang w:val="en-US"/>
        </w:rPr>
        <w:t>14.52</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14.52</w:t>
      </w:r>
      <w:r>
        <w:rPr>
          <w:rFonts w:hint="eastAsia" w:ascii="仿宋_GB2312" w:hAnsi="ˎ̥" w:eastAsia="仿宋_GB2312"/>
          <w:sz w:val="32"/>
          <w:szCs w:val="32"/>
        </w:rPr>
        <w:t>万元，完成预算的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sz w:val="32"/>
          <w:szCs w:val="32"/>
        </w:rPr>
        <w:t>“三公”经费支出</w:t>
      </w:r>
      <w:r>
        <w:rPr>
          <w:rFonts w:hint="eastAsia" w:ascii="仿宋_GB2312" w:hAnsi="ˎ̥" w:eastAsia="仿宋_GB2312"/>
          <w:sz w:val="32"/>
          <w:szCs w:val="32"/>
          <w:lang w:eastAsia="zh-CN"/>
        </w:rPr>
        <w:t>减少</w:t>
      </w:r>
      <w:r>
        <w:rPr>
          <w:rFonts w:hint="eastAsia" w:ascii="仿宋_GB2312" w:hAnsi="ˎ̥" w:eastAsia="仿宋_GB2312"/>
          <w:color w:val="FF0000"/>
          <w:sz w:val="32"/>
          <w:szCs w:val="32"/>
          <w:lang w:val="en-US" w:eastAsia="zh-CN"/>
        </w:rPr>
        <w:t>45.29</w:t>
      </w:r>
      <w:r>
        <w:rPr>
          <w:rFonts w:hint="eastAsia" w:ascii="仿宋_GB2312" w:hAnsi="ˎ̥" w:eastAsia="仿宋_GB2312"/>
          <w:sz w:val="32"/>
          <w:szCs w:val="32"/>
        </w:rPr>
        <w:t>万元</w:t>
      </w:r>
      <w:r>
        <w:rPr>
          <w:rFonts w:ascii="仿宋_GB2312" w:hAnsi="ˎ̥" w:eastAsia="仿宋_GB2312"/>
          <w:sz w:val="32"/>
          <w:szCs w:val="32"/>
        </w:rPr>
        <w:t>，</w:t>
      </w:r>
      <w:r>
        <w:rPr>
          <w:rFonts w:hint="eastAsia" w:ascii="仿宋_GB2312" w:hAnsi="ˎ̥" w:eastAsia="仿宋_GB2312"/>
          <w:sz w:val="32"/>
          <w:szCs w:val="32"/>
        </w:rPr>
        <w:t>下降</w:t>
      </w:r>
      <w:r>
        <w:rPr>
          <w:rFonts w:hint="eastAsia" w:ascii="仿宋_GB2312" w:hAnsi="ˎ̥" w:eastAsia="仿宋_GB2312"/>
          <w:sz w:val="32"/>
          <w:szCs w:val="32"/>
          <w:lang w:val="en-US" w:eastAsia="zh-CN"/>
        </w:rPr>
        <w:t>75.7</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ˎ̥" w:eastAsia="仿宋_GB2312"/>
          <w:sz w:val="32"/>
          <w:szCs w:val="32"/>
          <w:lang w:val="en-US" w:eastAsia="zh-CN"/>
        </w:rPr>
        <w:t>2024年购买1辆公车</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年度财政拨款“三公”经费支出决算中，因公出国（境）费支出决算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%；公务用车购置及运行维护费支出决算</w:t>
      </w:r>
      <w:r>
        <w:rPr>
          <w:rFonts w:hint="default" w:ascii="仿宋_GB2312" w:hAnsi="ˎ̥" w:eastAsia="仿宋_GB2312"/>
          <w:color w:val="FF0000"/>
          <w:sz w:val="32"/>
          <w:szCs w:val="32"/>
          <w:lang w:val="en-US"/>
        </w:rPr>
        <w:t>14.52</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%；公务接待费支出决算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%。具体情况如下：</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因公出国（境）费支出决算比预算数增加（减少）</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万元，增长（下降）</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2024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sz w:val="32"/>
          <w:szCs w:val="32"/>
        </w:rPr>
        <w:t>因公出国（境）费支出增加</w:t>
      </w:r>
      <w:r>
        <w:rPr>
          <w:rFonts w:ascii="仿宋_GB2312" w:hAnsi="ˎ̥" w:eastAsia="仿宋_GB2312"/>
          <w:sz w:val="32"/>
          <w:szCs w:val="32"/>
        </w:rPr>
        <w:t>（</w:t>
      </w:r>
      <w:r>
        <w:rPr>
          <w:rFonts w:hint="eastAsia" w:ascii="仿宋_GB2312" w:hAnsi="ˎ̥" w:eastAsia="仿宋_GB2312"/>
          <w:sz w:val="32"/>
          <w:szCs w:val="32"/>
        </w:rPr>
        <w:t>减少</w:t>
      </w:r>
      <w:r>
        <w:rPr>
          <w:rFonts w:ascii="仿宋_GB2312" w:hAnsi="ˎ̥" w:eastAsia="仿宋_GB2312"/>
          <w:sz w:val="32"/>
          <w:szCs w:val="32"/>
        </w:rPr>
        <w:t>）</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ascii="仿宋_GB2312" w:hAnsi="ˎ̥" w:eastAsia="仿宋_GB2312"/>
          <w:sz w:val="32"/>
          <w:szCs w:val="32"/>
        </w:rPr>
        <w:t>，增长（</w:t>
      </w:r>
      <w:r>
        <w:rPr>
          <w:rFonts w:hint="eastAsia" w:ascii="仿宋_GB2312" w:hAnsi="ˎ̥" w:eastAsia="仿宋_GB2312"/>
          <w:sz w:val="32"/>
          <w:szCs w:val="32"/>
        </w:rPr>
        <w:t>下降</w:t>
      </w:r>
      <w:r>
        <w:rPr>
          <w:rFonts w:ascii="仿宋_GB2312" w:hAnsi="ˎ̥" w:eastAsia="仿宋_GB2312"/>
          <w:sz w:val="32"/>
          <w:szCs w:val="32"/>
        </w:rPr>
        <w:t>）</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b/>
          <w:sz w:val="32"/>
          <w:szCs w:val="32"/>
        </w:rPr>
        <w:t xml:space="preserve">    2.公务用车购置及运行维护费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14.52</w:t>
      </w:r>
      <w:r>
        <w:rPr>
          <w:rFonts w:hint="eastAsia" w:ascii="仿宋_GB2312" w:hAnsi="ˎ̥"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公务用车购置</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万元，全年购置公务用车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辆，主年末公务用车保有量</w:t>
      </w:r>
      <w:r>
        <w:rPr>
          <w:rFonts w:hint="eastAsia" w:ascii="仿宋_GB2312" w:hAnsi="ˎ̥" w:eastAsia="仿宋_GB2312"/>
          <w:color w:val="FF0000"/>
          <w:sz w:val="32"/>
          <w:szCs w:val="32"/>
          <w:lang w:val="en-US" w:eastAsia="zh-CN"/>
        </w:rPr>
        <w:t>5</w:t>
      </w:r>
      <w:r>
        <w:rPr>
          <w:rFonts w:hint="eastAsia" w:ascii="仿宋_GB2312" w:hAnsi="ˎ̥" w:eastAsia="仿宋_GB2312"/>
          <w:sz w:val="32"/>
          <w:szCs w:val="32"/>
        </w:rPr>
        <w:t>辆。</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lang w:eastAsia="zh-CN"/>
        </w:rPr>
      </w:pPr>
      <w:r>
        <w:rPr>
          <w:rFonts w:hint="eastAsia" w:ascii="仿宋_GB2312" w:hAnsi="ˎ̥" w:eastAsia="仿宋_GB2312"/>
          <w:b/>
          <w:sz w:val="32"/>
          <w:szCs w:val="32"/>
        </w:rPr>
        <w:t>公务用车运行维护费</w:t>
      </w:r>
      <w:r>
        <w:rPr>
          <w:rFonts w:hint="eastAsia" w:ascii="仿宋_GB2312" w:hAnsi="ˎ̥" w:eastAsia="仿宋_GB2312"/>
          <w:sz w:val="32"/>
          <w:szCs w:val="32"/>
        </w:rPr>
        <w:t>支出</w:t>
      </w:r>
      <w:r>
        <w:rPr>
          <w:rFonts w:hint="default" w:ascii="仿宋_GB2312" w:hAnsi="ˎ̥" w:eastAsia="仿宋_GB2312"/>
          <w:color w:val="FF0000"/>
          <w:sz w:val="32"/>
          <w:szCs w:val="32"/>
          <w:lang w:val="en-US"/>
        </w:rPr>
        <w:t>14.52</w:t>
      </w:r>
      <w:r>
        <w:rPr>
          <w:rFonts w:hint="eastAsia" w:ascii="仿宋_GB2312" w:hAnsi="ˎ̥" w:eastAsia="仿宋_GB2312"/>
          <w:sz w:val="32"/>
          <w:szCs w:val="32"/>
        </w:rPr>
        <w:t>万元</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bCs/>
          <w:sz w:val="32"/>
          <w:szCs w:val="32"/>
        </w:rPr>
        <w:t>公务用车购置及运行维护费支出决算数</w:t>
      </w:r>
      <w:r>
        <w:rPr>
          <w:rFonts w:hint="eastAsia" w:ascii="仿宋_GB2312" w:hAnsi="ˎ̥" w:eastAsia="仿宋_GB2312"/>
          <w:sz w:val="32"/>
          <w:szCs w:val="32"/>
        </w:rPr>
        <w:t>比预算数增加（减少）</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val="en-US" w:eastAsia="zh-CN"/>
        </w:rPr>
        <w:t>完成预算的</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val="en-US" w:eastAsia="zh-CN"/>
        </w:rPr>
        <w:t>。</w:t>
      </w:r>
      <w:r>
        <w:rPr>
          <w:rFonts w:hint="eastAsia" w:ascii="仿宋_GB2312" w:hAnsi="ˎ̥" w:eastAsia="仿宋_GB2312"/>
          <w:sz w:val="32"/>
          <w:szCs w:val="32"/>
        </w:rPr>
        <w:t>与</w:t>
      </w: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bCs/>
          <w:sz w:val="32"/>
          <w:szCs w:val="32"/>
        </w:rPr>
        <w:t>公务用车购置及运行维护费</w:t>
      </w:r>
      <w:r>
        <w:rPr>
          <w:rFonts w:hint="eastAsia" w:ascii="仿宋_GB2312" w:hAnsi="ˎ̥" w:eastAsia="仿宋_GB2312"/>
          <w:sz w:val="32"/>
          <w:szCs w:val="32"/>
        </w:rPr>
        <w:t>支出增加减少</w:t>
      </w:r>
      <w:r>
        <w:rPr>
          <w:rFonts w:hint="eastAsia" w:ascii="仿宋_GB2312" w:hAnsi="ˎ̥" w:eastAsia="仿宋_GB2312"/>
          <w:sz w:val="32"/>
          <w:szCs w:val="32"/>
          <w:lang w:val="en-US" w:eastAsia="zh-CN"/>
        </w:rPr>
        <w:t>45.29</w:t>
      </w:r>
      <w:r>
        <w:rPr>
          <w:rFonts w:hint="eastAsia" w:ascii="仿宋_GB2312" w:hAnsi="ˎ̥" w:eastAsia="仿宋_GB2312"/>
          <w:sz w:val="32"/>
          <w:szCs w:val="32"/>
        </w:rPr>
        <w:t>万元</w:t>
      </w:r>
      <w:r>
        <w:rPr>
          <w:rFonts w:ascii="仿宋_GB2312" w:hAnsi="ˎ̥" w:eastAsia="仿宋_GB2312"/>
          <w:sz w:val="32"/>
          <w:szCs w:val="32"/>
        </w:rPr>
        <w:t>，</w:t>
      </w:r>
      <w:r>
        <w:rPr>
          <w:rFonts w:hint="eastAsia" w:ascii="仿宋_GB2312" w:hAnsi="ˎ̥" w:eastAsia="仿宋_GB2312"/>
          <w:sz w:val="32"/>
          <w:szCs w:val="32"/>
        </w:rPr>
        <w:t>下降</w:t>
      </w:r>
      <w:r>
        <w:rPr>
          <w:rFonts w:hint="eastAsia" w:ascii="仿宋_GB2312" w:hAnsi="ˎ̥" w:eastAsia="仿宋_GB2312"/>
          <w:color w:val="FF0000"/>
          <w:sz w:val="32"/>
          <w:szCs w:val="32"/>
          <w:lang w:val="en-US" w:eastAsia="zh-CN"/>
        </w:rPr>
        <w:t>75.7</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ˎ̥" w:eastAsia="仿宋_GB2312"/>
          <w:sz w:val="32"/>
          <w:szCs w:val="32"/>
          <w:lang w:val="en-US" w:eastAsia="zh-CN"/>
        </w:rPr>
        <w:t>2024年购买1辆公车</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 xml:space="preserve">    3.公务接待费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pPr>
        <w:spacing w:line="578" w:lineRule="exact"/>
        <w:ind w:firstLine="640" w:firstLineChars="200"/>
        <w:rPr>
          <w:rFonts w:hint="eastAsia" w:ascii="仿宋_GB2312" w:eastAsia="仿宋_GB2312"/>
          <w:sz w:val="32"/>
          <w:szCs w:val="32"/>
        </w:rPr>
      </w:pPr>
      <w:r>
        <w:rPr>
          <w:rFonts w:hint="eastAsia" w:ascii="仿宋_GB2312" w:eastAsia="仿宋_GB2312"/>
          <w:sz w:val="32"/>
          <w:szCs w:val="32"/>
        </w:rPr>
        <w:t>根据预算管理要求，我单位</w:t>
      </w:r>
      <w:r>
        <w:rPr>
          <w:rFonts w:hint="eastAsia" w:ascii="仿宋_GB2312" w:eastAsia="仿宋_GB2312"/>
          <w:sz w:val="32"/>
          <w:szCs w:val="32"/>
          <w:lang w:val="en-US" w:eastAsia="zh-CN"/>
        </w:rPr>
        <w:t>2025年完成财政拨款支出</w:t>
      </w:r>
      <w:r>
        <w:rPr>
          <w:rFonts w:hint="default" w:ascii="仿宋_GB2312" w:hAnsi="ˎ̥" w:eastAsia="仿宋_GB2312"/>
          <w:color w:val="FF0000"/>
          <w:sz w:val="32"/>
          <w:szCs w:val="32"/>
          <w:lang w:val="en-US"/>
        </w:rPr>
        <w:t>1,134.16</w:t>
      </w:r>
      <w:r>
        <w:rPr>
          <w:rFonts w:hint="eastAsia" w:ascii="仿宋_GB2312" w:hAnsi="ˎ̥" w:eastAsia="仿宋_GB2312"/>
          <w:color w:val="FF0000"/>
          <w:sz w:val="32"/>
          <w:szCs w:val="32"/>
          <w:lang w:val="en-US" w:eastAsia="zh-CN"/>
        </w:rPr>
        <w:t>万元，</w:t>
      </w:r>
      <w:r>
        <w:rPr>
          <w:rFonts w:hint="eastAsia" w:ascii="仿宋_GB2312" w:hAnsi="Times New Roman" w:eastAsia="仿宋_GB2312" w:cs="Times New Roman"/>
          <w:sz w:val="32"/>
          <w:szCs w:val="32"/>
          <w:lang w:val="en-US" w:eastAsia="zh-CN"/>
        </w:rPr>
        <w:t>完成进度表为100%。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18325_WPSOffice_Level2"/>
      <w:bookmarkStart w:id="96" w:name="_Toc5978_WPSOffice_Level2"/>
      <w:bookmarkStart w:id="97" w:name="_Toc15262_WPSOffice_Level2"/>
      <w:bookmarkStart w:id="98" w:name="_Toc32639_WPSOffice_Level2"/>
      <w:bookmarkStart w:id="99" w:name="_Toc23598_WPSOffice_Level2"/>
      <w:bookmarkStart w:id="100" w:name="_Toc15565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pPr>
        <w:spacing w:line="578" w:lineRule="exact"/>
        <w:ind w:firstLine="640" w:firstLineChars="200"/>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w:t>
      </w:r>
      <w:r>
        <w:rPr>
          <w:rFonts w:hint="eastAsia" w:ascii="仿宋_GB2312" w:hAnsi="ˎ̥" w:eastAsia="仿宋_GB2312"/>
          <w:color w:val="FF0000"/>
          <w:sz w:val="32"/>
          <w:szCs w:val="32"/>
          <w:lang w:val="en-US" w:eastAsia="zh-CN"/>
        </w:rPr>
        <w:t>5</w:t>
      </w:r>
      <w:r>
        <w:rPr>
          <w:rFonts w:hint="eastAsia" w:ascii="仿宋_GB2312" w:hAnsi="ˎ̥" w:eastAsia="仿宋_GB2312"/>
          <w:sz w:val="32"/>
          <w:szCs w:val="32"/>
        </w:rPr>
        <w:t>部门（单位）机关运行经费</w:t>
      </w:r>
      <w:r>
        <w:rPr>
          <w:rFonts w:hint="default" w:ascii="仿宋_GB2312" w:hAnsi="ˎ̥" w:eastAsia="仿宋_GB2312"/>
          <w:color w:val="FF0000"/>
          <w:sz w:val="32"/>
          <w:szCs w:val="32"/>
          <w:lang w:val="en-US"/>
        </w:rPr>
        <w:t>69.16</w:t>
      </w:r>
      <w:r>
        <w:rPr>
          <w:rFonts w:hint="eastAsia" w:ascii="仿宋_GB2312" w:hAnsi="ˎ̥" w:eastAsia="仿宋_GB2312"/>
          <w:sz w:val="32"/>
          <w:szCs w:val="32"/>
        </w:rPr>
        <w:t>万元（为部门决算中行政单位和参公事业单位财政拨款基本支出中公用经费支出之和，事业单位没有机关运行经费支出），为部门决算中行政单位和参公事业单位财政拨款基本支出中公用经费支出之和，事业单位没有机关运行经费支出），比年初预算增加（减少）</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万元，增长（降低）</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1" w:name="_Toc13084_WPSOffice_Level2"/>
      <w:bookmarkStart w:id="102" w:name="_Toc23966_WPSOffice_Level2"/>
      <w:bookmarkStart w:id="103" w:name="_Toc3131_WPSOffice_Level2"/>
      <w:bookmarkStart w:id="104" w:name="_Toc25333_WPSOffice_Level2"/>
      <w:bookmarkStart w:id="105" w:name="_Toc32689_WPSOffice_Level2"/>
      <w:bookmarkStart w:id="106" w:name="_Toc30383_WPSOffice_Level2"/>
      <w:r>
        <w:rPr>
          <w:rFonts w:hint="eastAsia" w:ascii="楷体" w:hAnsi="楷体" w:eastAsia="楷体" w:cs="楷体"/>
          <w:bCs/>
          <w:sz w:val="32"/>
          <w:szCs w:val="32"/>
        </w:rPr>
        <w:t>（二）政府采购支出情况</w:t>
      </w:r>
      <w:bookmarkEnd w:id="101"/>
      <w:bookmarkEnd w:id="102"/>
      <w:bookmarkEnd w:id="103"/>
      <w:bookmarkEnd w:id="104"/>
      <w:bookmarkEnd w:id="105"/>
      <w:bookmarkEnd w:id="106"/>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2025</w:t>
      </w:r>
      <w:r>
        <w:rPr>
          <w:rFonts w:hint="eastAsia" w:ascii="仿宋_GB2312" w:hAnsi="ˎ̥" w:eastAsia="仿宋_GB2312"/>
          <w:sz w:val="32"/>
          <w:szCs w:val="32"/>
        </w:rPr>
        <w:t>年度部门（单位）政府采购支出总额</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7" w:name="_Toc15129_WPSOffice_Level2"/>
      <w:bookmarkStart w:id="108" w:name="_Toc10902_WPSOffice_Level2"/>
      <w:bookmarkStart w:id="109" w:name="_Toc19989_WPSOffice_Level2"/>
      <w:bookmarkStart w:id="110" w:name="_Toc6016_WPSOffice_Level2"/>
      <w:bookmarkStart w:id="111" w:name="_Toc527_WPSOffice_Level2"/>
      <w:bookmarkStart w:id="112" w:name="_Toc29584_WPSOffice_Level2"/>
      <w:r>
        <w:rPr>
          <w:rFonts w:hint="eastAsia" w:ascii="楷体" w:hAnsi="楷体" w:eastAsia="楷体" w:cs="楷体"/>
          <w:bCs/>
          <w:sz w:val="32"/>
          <w:szCs w:val="32"/>
        </w:rPr>
        <w:t>（三）国有资产占用情况</w:t>
      </w:r>
      <w:bookmarkEnd w:id="107"/>
      <w:bookmarkEnd w:id="108"/>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bCs/>
          <w:sz w:val="32"/>
          <w:szCs w:val="32"/>
        </w:rPr>
        <w:t>截至</w:t>
      </w:r>
      <w:r>
        <w:rPr>
          <w:rFonts w:hint="default" w:ascii="仿宋_GB2312" w:hAnsi="ˎ̥" w:eastAsia="仿宋_GB2312"/>
          <w:bCs/>
          <w:sz w:val="32"/>
          <w:szCs w:val="32"/>
          <w:lang w:val="en-US"/>
        </w:rPr>
        <w:t>2025</w:t>
      </w:r>
      <w:r>
        <w:rPr>
          <w:rFonts w:hint="eastAsia" w:ascii="仿宋_GB2312" w:hAnsi="ˎ̥" w:eastAsia="仿宋_GB2312"/>
          <w:bCs/>
          <w:sz w:val="32"/>
          <w:szCs w:val="32"/>
        </w:rPr>
        <w:t>年12月31日，</w:t>
      </w:r>
      <w:r>
        <w:rPr>
          <w:rFonts w:hint="eastAsia" w:ascii="仿宋_GB2312" w:hAnsi="ˎ̥" w:eastAsia="仿宋_GB2312"/>
          <w:sz w:val="32"/>
          <w:szCs w:val="32"/>
        </w:rPr>
        <w:t>本部门共有车辆</w:t>
      </w:r>
      <w:r>
        <w:rPr>
          <w:rFonts w:hint="eastAsia" w:ascii="仿宋_GB2312" w:hAnsi="ˎ̥" w:eastAsia="仿宋_GB2312"/>
          <w:color w:val="FF0000"/>
          <w:sz w:val="32"/>
          <w:szCs w:val="32"/>
          <w:lang w:val="en-US" w:eastAsia="zh-CN"/>
        </w:rPr>
        <w:t>5</w:t>
      </w:r>
      <w:r>
        <w:rPr>
          <w:rFonts w:hint="eastAsia" w:ascii="仿宋_GB2312" w:hAnsi="ˎ̥" w:eastAsia="仿宋_GB2312"/>
          <w:sz w:val="32"/>
          <w:szCs w:val="32"/>
        </w:rPr>
        <w:t>辆，其中，副部（省）级及以上领导用车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辆、主要负责人用车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辆、机要通信用车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辆、应急保障用车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辆、执法执勤用车</w:t>
      </w:r>
      <w:r>
        <w:rPr>
          <w:rFonts w:hint="eastAsia" w:ascii="仿宋_GB2312" w:hAnsi="ˎ̥" w:eastAsia="仿宋_GB2312"/>
          <w:color w:val="FF0000"/>
          <w:sz w:val="32"/>
          <w:szCs w:val="32"/>
          <w:lang w:val="en-US" w:eastAsia="zh-CN"/>
        </w:rPr>
        <w:t>4</w:t>
      </w:r>
      <w:r>
        <w:rPr>
          <w:rFonts w:hint="eastAsia" w:ascii="仿宋_GB2312" w:hAnsi="ˎ̥" w:eastAsia="仿宋_GB2312"/>
          <w:sz w:val="32"/>
          <w:szCs w:val="32"/>
        </w:rPr>
        <w:t>辆、特种专业技术用车</w:t>
      </w:r>
      <w:r>
        <w:rPr>
          <w:rFonts w:hint="eastAsia" w:ascii="仿宋_GB2312" w:hAnsi="ˎ̥" w:eastAsia="仿宋_GB2312"/>
          <w:color w:val="FF0000"/>
          <w:sz w:val="32"/>
          <w:szCs w:val="32"/>
          <w:lang w:val="en-US" w:eastAsia="zh-CN"/>
        </w:rPr>
        <w:t>1</w:t>
      </w:r>
      <w:r>
        <w:rPr>
          <w:rFonts w:hint="eastAsia" w:ascii="仿宋_GB2312" w:hAnsi="ˎ̥" w:eastAsia="仿宋_GB2312"/>
          <w:sz w:val="32"/>
          <w:szCs w:val="32"/>
        </w:rPr>
        <w:t>辆、离退休干部服务用车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单价100万元（含）以上设备（不含车辆）</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黑体" w:hAnsi="ˎ̥" w:eastAsia="仿宋_GB2312"/>
          <w:sz w:val="32"/>
          <w:szCs w:val="32"/>
          <w:lang w:val="en-US" w:eastAsia="zh-CN"/>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上述国有资产占用情况相关数</w:t>
      </w:r>
      <w:r>
        <w:rPr>
          <w:rFonts w:hint="eastAsia" w:ascii="仿宋_GB2312" w:hAnsi="ˎ̥" w:eastAsia="仿宋_GB2312"/>
          <w:sz w:val="32"/>
          <w:szCs w:val="32"/>
          <w:lang w:val="en-US" w:eastAsia="zh-CN"/>
        </w:rPr>
        <w:t>据</w:t>
      </w:r>
      <w:r>
        <w:rPr>
          <w:rFonts w:hint="eastAsia" w:ascii="仿宋_GB2312" w:hAnsi="ˎ̥" w:eastAsia="仿宋_GB2312"/>
          <w:sz w:val="32"/>
          <w:szCs w:val="32"/>
        </w:rPr>
        <w:t>取自</w:t>
      </w:r>
      <w:r>
        <w:rPr>
          <w:rFonts w:hint="default" w:ascii="仿宋_GB2312" w:hAnsi="ˎ̥" w:eastAsia="仿宋_GB2312"/>
          <w:sz w:val="32"/>
          <w:szCs w:val="32"/>
          <w:lang w:val="en-US"/>
        </w:rPr>
        <w:t>2025</w:t>
      </w:r>
      <w:r>
        <w:rPr>
          <w:rFonts w:hint="eastAsia" w:ascii="仿宋_GB2312" w:hAnsi="ˎ̥" w:eastAsia="仿宋_GB2312"/>
          <w:sz w:val="32"/>
          <w:szCs w:val="32"/>
        </w:rPr>
        <w:t>年度部门决算F0</w:t>
      </w:r>
      <w:r>
        <w:rPr>
          <w:rFonts w:hint="default" w:ascii="仿宋_GB2312" w:hAnsi="ˎ̥" w:eastAsia="仿宋_GB2312"/>
          <w:sz w:val="32"/>
          <w:szCs w:val="32"/>
          <w:lang w:val="en-US"/>
        </w:rPr>
        <w:t>2</w:t>
      </w:r>
      <w:r>
        <w:rPr>
          <w:rFonts w:hint="eastAsia" w:ascii="仿宋_GB2312" w:hAnsi="ˎ̥" w:eastAsia="仿宋_GB2312"/>
          <w:sz w:val="32"/>
          <w:szCs w:val="32"/>
        </w:rPr>
        <w:t>表《预算支出相关信息表》、F03表《机构运行信息表》。）</w:t>
      </w:r>
      <w:bookmarkStart w:id="113" w:name="_Toc8874_WPSOffice_Level1"/>
      <w:bookmarkStart w:id="114" w:name="_Toc11039_WPSOffice_Level1"/>
      <w:bookmarkStart w:id="115" w:name="_Toc8808_WPSOffice_Level1"/>
      <w:bookmarkStart w:id="116" w:name="_Toc17580_WPSOffice_Level1"/>
      <w:bookmarkStart w:id="117" w:name="_Toc4398_WPSOffice_Level1"/>
      <w:bookmarkStart w:id="118" w:name="_Toc15425_WPSOffice_Level1"/>
      <w:r>
        <w:rPr>
          <w:rFonts w:hint="eastAsia" w:ascii="仿宋_GB2312" w:hAnsi="ˎ̥"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3"/>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textAlignment w:val="auto"/>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支出功能分类的名词解释，各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单位根据实际支出情况填列，可参阅财政部印发的《</w:t>
      </w:r>
      <w:r>
        <w:rPr>
          <w:rFonts w:hint="default" w:ascii="仿宋_GB2312" w:hAnsi="ˎ̥" w:eastAsia="仿宋_GB2312"/>
          <w:sz w:val="32"/>
          <w:szCs w:val="32"/>
          <w:lang w:val="en-US"/>
        </w:rPr>
        <w:t>2025</w:t>
      </w:r>
      <w:r>
        <w:rPr>
          <w:rFonts w:hint="eastAsia" w:ascii="仿宋_GB2312" w:hAnsi="ˎ̥" w:eastAsia="仿宋_GB2312"/>
          <w:sz w:val="32"/>
          <w:szCs w:val="32"/>
        </w:rPr>
        <w:t>年政府收支分类科目》</w:t>
      </w:r>
      <w:r>
        <w:rPr>
          <w:rFonts w:hint="eastAsia" w:ascii="仿宋_GB2312" w:hAnsi="ˎ̥" w:eastAsia="仿宋_GB2312"/>
          <w:sz w:val="32"/>
          <w:szCs w:val="32"/>
          <w:lang w:eastAsia="zh-CN"/>
        </w:rPr>
        <w:t>。</w:t>
      </w:r>
      <w:r>
        <w:rPr>
          <w:rFonts w:hint="eastAsia" w:ascii="仿宋_GB2312" w:hAnsi="ˎ̥" w:eastAsia="仿宋_GB2312"/>
          <w:sz w:val="32"/>
          <w:szCs w:val="32"/>
        </w:rPr>
        <w:t>）</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18</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F76FF169"/>
    <w:multiLevelType w:val="singleLevel"/>
    <w:tmpl w:val="F76FF169"/>
    <w:lvl w:ilvl="0" w:tentative="0">
      <w:start w:val="8"/>
      <w:numFmt w:val="decimal"/>
      <w:lvlText w:val="%1."/>
      <w:lvlJc w:val="left"/>
      <w:pPr>
        <w:tabs>
          <w:tab w:val="left" w:pos="312"/>
        </w:tabs>
      </w:pPr>
    </w:lvl>
  </w:abstractNum>
  <w:abstractNum w:abstractNumId="2">
    <w:nsid w:val="3B205E62"/>
    <w:multiLevelType w:val="singleLevel"/>
    <w:tmpl w:val="3B205E62"/>
    <w:lvl w:ilvl="0" w:tentative="0">
      <w:start w:val="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47367"/>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119785A"/>
    <w:rsid w:val="01D11587"/>
    <w:rsid w:val="0402496D"/>
    <w:rsid w:val="04354274"/>
    <w:rsid w:val="05BE31A7"/>
    <w:rsid w:val="07B40D33"/>
    <w:rsid w:val="09201287"/>
    <w:rsid w:val="09FB2DEB"/>
    <w:rsid w:val="0A8A2A5A"/>
    <w:rsid w:val="0AC15133"/>
    <w:rsid w:val="0B465081"/>
    <w:rsid w:val="0D4870DB"/>
    <w:rsid w:val="0E972280"/>
    <w:rsid w:val="0FC80124"/>
    <w:rsid w:val="106B567E"/>
    <w:rsid w:val="11876678"/>
    <w:rsid w:val="11D95855"/>
    <w:rsid w:val="126C0647"/>
    <w:rsid w:val="1295728D"/>
    <w:rsid w:val="136F98C7"/>
    <w:rsid w:val="143C7EA6"/>
    <w:rsid w:val="15CF3C79"/>
    <w:rsid w:val="163B4B05"/>
    <w:rsid w:val="16F65238"/>
    <w:rsid w:val="17427E68"/>
    <w:rsid w:val="174E6F4B"/>
    <w:rsid w:val="1755065F"/>
    <w:rsid w:val="19B915C3"/>
    <w:rsid w:val="1A3B5015"/>
    <w:rsid w:val="1AFC29C9"/>
    <w:rsid w:val="1C7C20CC"/>
    <w:rsid w:val="1CA52F2E"/>
    <w:rsid w:val="1D2F1B6F"/>
    <w:rsid w:val="1DA03128"/>
    <w:rsid w:val="1DFE370B"/>
    <w:rsid w:val="1E3630B9"/>
    <w:rsid w:val="1EB33761"/>
    <w:rsid w:val="211B179B"/>
    <w:rsid w:val="241A2A47"/>
    <w:rsid w:val="2647305C"/>
    <w:rsid w:val="26E563DD"/>
    <w:rsid w:val="26EEC2B5"/>
    <w:rsid w:val="277D7855"/>
    <w:rsid w:val="29472309"/>
    <w:rsid w:val="2A932366"/>
    <w:rsid w:val="2AC8733D"/>
    <w:rsid w:val="2B406E77"/>
    <w:rsid w:val="2C2A0C43"/>
    <w:rsid w:val="2CA049C5"/>
    <w:rsid w:val="2D1E73A5"/>
    <w:rsid w:val="2DD105BA"/>
    <w:rsid w:val="31942D36"/>
    <w:rsid w:val="31C204AF"/>
    <w:rsid w:val="32717154"/>
    <w:rsid w:val="34B63260"/>
    <w:rsid w:val="358C477F"/>
    <w:rsid w:val="35C167EC"/>
    <w:rsid w:val="37FDA7E2"/>
    <w:rsid w:val="38704DA6"/>
    <w:rsid w:val="38785A35"/>
    <w:rsid w:val="391F3C45"/>
    <w:rsid w:val="3A314D88"/>
    <w:rsid w:val="3A746883"/>
    <w:rsid w:val="3A7876F9"/>
    <w:rsid w:val="3A9F2E3C"/>
    <w:rsid w:val="3CA15DE9"/>
    <w:rsid w:val="3E9B4946"/>
    <w:rsid w:val="3E9C23C7"/>
    <w:rsid w:val="3ED2701E"/>
    <w:rsid w:val="3FE61EE5"/>
    <w:rsid w:val="40600DAE"/>
    <w:rsid w:val="406508EE"/>
    <w:rsid w:val="408D6263"/>
    <w:rsid w:val="41B40CEE"/>
    <w:rsid w:val="421D4587"/>
    <w:rsid w:val="4332664E"/>
    <w:rsid w:val="434D6E78"/>
    <w:rsid w:val="453A6A23"/>
    <w:rsid w:val="45BD3779"/>
    <w:rsid w:val="470E1E21"/>
    <w:rsid w:val="471F76BE"/>
    <w:rsid w:val="48317291"/>
    <w:rsid w:val="485F7024"/>
    <w:rsid w:val="48E70666"/>
    <w:rsid w:val="49DF1C3F"/>
    <w:rsid w:val="4A2205F3"/>
    <w:rsid w:val="4A4A12EF"/>
    <w:rsid w:val="4A944BE6"/>
    <w:rsid w:val="4B9D2E9A"/>
    <w:rsid w:val="4C6877E5"/>
    <w:rsid w:val="4CC61682"/>
    <w:rsid w:val="4D6A468D"/>
    <w:rsid w:val="4E016FBE"/>
    <w:rsid w:val="4E7848CC"/>
    <w:rsid w:val="4EA86137"/>
    <w:rsid w:val="4FF80240"/>
    <w:rsid w:val="52C051D0"/>
    <w:rsid w:val="53273C7B"/>
    <w:rsid w:val="54BE2A98"/>
    <w:rsid w:val="54C75926"/>
    <w:rsid w:val="54EB4860"/>
    <w:rsid w:val="560704B0"/>
    <w:rsid w:val="56CA7FD0"/>
    <w:rsid w:val="574F1ACC"/>
    <w:rsid w:val="57FA38D1"/>
    <w:rsid w:val="58BC4221"/>
    <w:rsid w:val="5ACD2D08"/>
    <w:rsid w:val="5C9522F3"/>
    <w:rsid w:val="5E6D1EF9"/>
    <w:rsid w:val="5EA24952"/>
    <w:rsid w:val="5F7D3333"/>
    <w:rsid w:val="5FAE5D89"/>
    <w:rsid w:val="601125AA"/>
    <w:rsid w:val="60D07165"/>
    <w:rsid w:val="61385890"/>
    <w:rsid w:val="61A813C7"/>
    <w:rsid w:val="62731D94"/>
    <w:rsid w:val="65CB530E"/>
    <w:rsid w:val="65E43CBA"/>
    <w:rsid w:val="65EC10C6"/>
    <w:rsid w:val="667B76B0"/>
    <w:rsid w:val="687436E1"/>
    <w:rsid w:val="68760770"/>
    <w:rsid w:val="68B172D0"/>
    <w:rsid w:val="69326925"/>
    <w:rsid w:val="69971724"/>
    <w:rsid w:val="69FA2AEA"/>
    <w:rsid w:val="6A2F5543"/>
    <w:rsid w:val="6BA63E2B"/>
    <w:rsid w:val="6D7E1DC5"/>
    <w:rsid w:val="6DA45C50"/>
    <w:rsid w:val="6E4C2E04"/>
    <w:rsid w:val="6E7177C1"/>
    <w:rsid w:val="6E9A7825"/>
    <w:rsid w:val="6F670F9B"/>
    <w:rsid w:val="70B008E6"/>
    <w:rsid w:val="729F531D"/>
    <w:rsid w:val="737450E0"/>
    <w:rsid w:val="74054476"/>
    <w:rsid w:val="742F38C4"/>
    <w:rsid w:val="74AB66DC"/>
    <w:rsid w:val="74C4154C"/>
    <w:rsid w:val="75956FFF"/>
    <w:rsid w:val="762400E1"/>
    <w:rsid w:val="779D1ECC"/>
    <w:rsid w:val="77AA2D01"/>
    <w:rsid w:val="7A430EA6"/>
    <w:rsid w:val="7CA4190A"/>
    <w:rsid w:val="7CCB75CB"/>
    <w:rsid w:val="7CDE1DBD"/>
    <w:rsid w:val="7D943A85"/>
    <w:rsid w:val="7D9F6A13"/>
    <w:rsid w:val="7DB0448C"/>
    <w:rsid w:val="7E5F9AA4"/>
    <w:rsid w:val="7E8A6FBF"/>
    <w:rsid w:val="7F0C2FFD"/>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6426</Words>
  <Characters>7079</Characters>
  <Lines>67</Lines>
  <Paragraphs>18</Paragraphs>
  <TotalTime>6</TotalTime>
  <ScaleCrop>false</ScaleCrop>
  <LinksUpToDate>false</LinksUpToDate>
  <CharactersWithSpaces>7862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Lenovo</cp:lastModifiedBy>
  <cp:lastPrinted>2023-08-03T00:58:00Z</cp:lastPrinted>
  <dcterms:modified xsi:type="dcterms:W3CDTF">2026-08-05T04:04:31Z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EDEE2AEA67894A1590C4C73EE8915601_13</vt:lpwstr>
  </property>
  <property fmtid="{D5CDD505-2E9C-101B-9397-08002B2CF9AE}" pid="4" name="KSOTemplateDocerSaveRecord">
    <vt:lpwstr>eyJoZGlkIjoiY2VlZThlZDk5ZTQ4MTFjNGY3MjIxNTdiOWMzZmQwMWMiLCJ1c2VySWQiOiIyMzQ5MTc1OTYifQ==</vt:lpwstr>
  </property>
</Properties>
</file>