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BF05EB">
      <w:pPr>
        <w:spacing w:line="578" w:lineRule="exact"/>
        <w:jc w:val="center"/>
        <w:rPr>
          <w:rFonts w:eastAsiaTheme="majorEastAsia"/>
          <w:b/>
          <w:bCs/>
          <w:sz w:val="44"/>
          <w:szCs w:val="44"/>
        </w:rPr>
      </w:pPr>
      <w:r>
        <w:rPr>
          <w:rFonts w:eastAsiaTheme="majorEastAsia"/>
          <w:b/>
          <w:bCs/>
          <w:sz w:val="44"/>
          <w:szCs w:val="44"/>
        </w:rPr>
        <w:t>那曲市疾控中心机关2025年度部门决算公开报告</w:t>
      </w:r>
    </w:p>
    <w:p w14:paraId="42DF34C8">
      <w:pPr>
        <w:spacing w:line="578" w:lineRule="exact"/>
        <w:jc w:val="both"/>
        <w:rPr>
          <w:rFonts w:eastAsia="黑体"/>
          <w:b/>
          <w:sz w:val="32"/>
          <w:szCs w:val="32"/>
        </w:rPr>
      </w:pPr>
    </w:p>
    <w:p w14:paraId="4CBF14DA">
      <w:pPr>
        <w:spacing w:line="578" w:lineRule="exact"/>
        <w:jc w:val="center"/>
        <w:rPr>
          <w:rFonts w:eastAsia="黑体"/>
          <w:sz w:val="44"/>
          <w:szCs w:val="44"/>
        </w:rPr>
      </w:pPr>
      <w:bookmarkStart w:id="0" w:name="_Toc11440_WPSOffice_Type2"/>
      <w:r>
        <w:rPr>
          <w:rFonts w:eastAsia="黑体"/>
          <w:sz w:val="44"/>
          <w:szCs w:val="44"/>
        </w:rPr>
        <w:t>目  录</w:t>
      </w:r>
    </w:p>
    <w:p w14:paraId="19556B4B">
      <w:pPr>
        <w:pStyle w:val="15"/>
        <w:tabs>
          <w:tab w:val="right" w:leader="dot" w:pos="8306"/>
        </w:tabs>
        <w:spacing w:line="578" w:lineRule="exact"/>
        <w:rPr>
          <w:sz w:val="32"/>
          <w:szCs w:val="32"/>
        </w:rPr>
      </w:pPr>
      <w:r>
        <w:fldChar w:fldCharType="begin"/>
      </w:r>
      <w:r>
        <w:instrText xml:space="preserve"> HYPERLINK \l "_Toc1704_WPSOffice_Level1" </w:instrText>
      </w:r>
      <w:r>
        <w:fldChar w:fldCharType="separate"/>
      </w:r>
      <w:r>
        <w:rPr>
          <w:rFonts w:eastAsia="黑体"/>
          <w:sz w:val="32"/>
          <w:szCs w:val="32"/>
        </w:rPr>
        <w:t>第一部分 基本情况</w:t>
      </w:r>
      <w:r>
        <w:rPr>
          <w:sz w:val="32"/>
          <w:szCs w:val="32"/>
        </w:rPr>
        <w:tab/>
      </w:r>
      <w:r>
        <w:rPr>
          <w:sz w:val="32"/>
          <w:szCs w:val="32"/>
        </w:rPr>
        <w:fldChar w:fldCharType="end"/>
      </w:r>
      <w:r>
        <w:rPr>
          <w:sz w:val="32"/>
          <w:szCs w:val="32"/>
        </w:rPr>
        <w:t>2</w:t>
      </w:r>
    </w:p>
    <w:p w14:paraId="52E4ACD7">
      <w:pPr>
        <w:pStyle w:val="16"/>
        <w:tabs>
          <w:tab w:val="right" w:leader="dot" w:pos="8306"/>
        </w:tabs>
        <w:spacing w:line="578" w:lineRule="exact"/>
        <w:ind w:leftChars="0"/>
        <w:rPr>
          <w:rFonts w:eastAsia="仿宋"/>
          <w:sz w:val="32"/>
          <w:szCs w:val="32"/>
        </w:rPr>
      </w:pPr>
      <w:r>
        <w:fldChar w:fldCharType="begin"/>
      </w:r>
      <w:r>
        <w:instrText xml:space="preserve"> HYPERLINK \l "_Toc20274_WPSOffice_Level2" </w:instrText>
      </w:r>
      <w:r>
        <w:fldChar w:fldCharType="separate"/>
      </w:r>
      <w:r>
        <w:rPr>
          <w:rFonts w:eastAsia="仿宋"/>
          <w:sz w:val="32"/>
          <w:szCs w:val="32"/>
        </w:rPr>
        <w:t>一、部门（单位）职责</w:t>
      </w:r>
      <w:r>
        <w:rPr>
          <w:rFonts w:eastAsia="仿宋"/>
          <w:sz w:val="32"/>
          <w:szCs w:val="32"/>
        </w:rPr>
        <w:tab/>
      </w:r>
      <w:r>
        <w:rPr>
          <w:rFonts w:eastAsia="仿宋"/>
          <w:sz w:val="32"/>
          <w:szCs w:val="32"/>
        </w:rPr>
        <w:fldChar w:fldCharType="end"/>
      </w:r>
      <w:r>
        <w:rPr>
          <w:rFonts w:eastAsia="仿宋"/>
          <w:sz w:val="32"/>
          <w:szCs w:val="32"/>
        </w:rPr>
        <w:t>2</w:t>
      </w:r>
    </w:p>
    <w:p w14:paraId="50CF4AC7">
      <w:pPr>
        <w:pStyle w:val="16"/>
        <w:tabs>
          <w:tab w:val="right" w:leader="dot" w:pos="8306"/>
        </w:tabs>
        <w:spacing w:line="578" w:lineRule="exact"/>
        <w:ind w:leftChars="0"/>
        <w:rPr>
          <w:rFonts w:eastAsia="仿宋"/>
          <w:sz w:val="32"/>
          <w:szCs w:val="32"/>
        </w:rPr>
      </w:pPr>
      <w:r>
        <w:fldChar w:fldCharType="begin"/>
      </w:r>
      <w:r>
        <w:instrText xml:space="preserve"> HYPERLINK \l "_Toc4833_WPSOffice_Level2" </w:instrText>
      </w:r>
      <w:r>
        <w:fldChar w:fldCharType="separate"/>
      </w:r>
      <w:r>
        <w:rPr>
          <w:rFonts w:eastAsia="仿宋"/>
          <w:sz w:val="32"/>
          <w:szCs w:val="32"/>
        </w:rPr>
        <w:t>二、机构设置</w:t>
      </w:r>
      <w:r>
        <w:rPr>
          <w:rFonts w:eastAsia="仿宋"/>
          <w:sz w:val="32"/>
          <w:szCs w:val="32"/>
        </w:rPr>
        <w:tab/>
      </w:r>
      <w:r>
        <w:rPr>
          <w:rFonts w:eastAsia="仿宋"/>
          <w:sz w:val="32"/>
          <w:szCs w:val="32"/>
        </w:rPr>
        <w:fldChar w:fldCharType="end"/>
      </w:r>
      <w:r>
        <w:rPr>
          <w:rFonts w:eastAsia="仿宋"/>
          <w:sz w:val="32"/>
          <w:szCs w:val="32"/>
        </w:rPr>
        <w:t>2</w:t>
      </w:r>
    </w:p>
    <w:p w14:paraId="34DE92C0">
      <w:pPr>
        <w:pStyle w:val="15"/>
        <w:tabs>
          <w:tab w:val="right" w:leader="dot" w:pos="8306"/>
        </w:tabs>
        <w:spacing w:line="578" w:lineRule="exact"/>
        <w:rPr>
          <w:sz w:val="32"/>
          <w:szCs w:val="32"/>
        </w:rPr>
      </w:pPr>
      <w:r>
        <w:fldChar w:fldCharType="begin"/>
      </w:r>
      <w:r>
        <w:instrText xml:space="preserve"> HYPERLINK \l "_Toc28253_WPSOffice_Level1" </w:instrText>
      </w:r>
      <w:r>
        <w:fldChar w:fldCharType="separate"/>
      </w:r>
      <w:r>
        <w:rPr>
          <w:rFonts w:eastAsia="黑体"/>
          <w:sz w:val="32"/>
          <w:szCs w:val="32"/>
        </w:rPr>
        <w:t>第二部分  2025年度部门决算公开表</w:t>
      </w:r>
      <w:r>
        <w:rPr>
          <w:sz w:val="32"/>
          <w:szCs w:val="32"/>
        </w:rPr>
        <w:tab/>
      </w:r>
      <w:r>
        <w:rPr>
          <w:sz w:val="32"/>
          <w:szCs w:val="32"/>
        </w:rPr>
        <w:fldChar w:fldCharType="end"/>
      </w:r>
      <w:r>
        <w:rPr>
          <w:sz w:val="32"/>
          <w:szCs w:val="32"/>
        </w:rPr>
        <w:t>2</w:t>
      </w:r>
    </w:p>
    <w:p w14:paraId="13CDF410">
      <w:pPr>
        <w:pStyle w:val="15"/>
        <w:tabs>
          <w:tab w:val="right" w:leader="dot" w:pos="8306"/>
        </w:tabs>
        <w:spacing w:line="578" w:lineRule="exact"/>
        <w:rPr>
          <w:sz w:val="32"/>
          <w:szCs w:val="32"/>
        </w:rPr>
      </w:pPr>
      <w:r>
        <w:fldChar w:fldCharType="begin"/>
      </w:r>
      <w:r>
        <w:instrText xml:space="preserve"> HYPERLINK \l "_Toc27590_WPSOffice_Level1" </w:instrText>
      </w:r>
      <w:r>
        <w:fldChar w:fldCharType="separate"/>
      </w:r>
      <w:r>
        <w:rPr>
          <w:rFonts w:eastAsia="黑体"/>
          <w:sz w:val="32"/>
          <w:szCs w:val="32"/>
        </w:rPr>
        <w:t>第三部分2025年度部门决算情况说明</w:t>
      </w:r>
      <w:r>
        <w:rPr>
          <w:sz w:val="32"/>
          <w:szCs w:val="32"/>
        </w:rPr>
        <w:tab/>
      </w:r>
      <w:r>
        <w:rPr>
          <w:sz w:val="32"/>
          <w:szCs w:val="32"/>
        </w:rPr>
        <w:fldChar w:fldCharType="end"/>
      </w:r>
      <w:r>
        <w:rPr>
          <w:sz w:val="32"/>
          <w:szCs w:val="32"/>
        </w:rPr>
        <w:t>3</w:t>
      </w:r>
    </w:p>
    <w:p w14:paraId="3ECDC093">
      <w:pPr>
        <w:pStyle w:val="16"/>
        <w:tabs>
          <w:tab w:val="right" w:leader="dot" w:pos="8306"/>
        </w:tabs>
        <w:spacing w:line="578" w:lineRule="exact"/>
        <w:ind w:leftChars="0"/>
        <w:rPr>
          <w:rFonts w:eastAsia="仿宋"/>
          <w:sz w:val="32"/>
          <w:szCs w:val="32"/>
        </w:rPr>
      </w:pPr>
      <w:r>
        <w:fldChar w:fldCharType="begin"/>
      </w:r>
      <w:r>
        <w:instrText xml:space="preserve"> HYPERLINK \l "_Toc21737_WPSOffice_Level2" </w:instrText>
      </w:r>
      <w:r>
        <w:fldChar w:fldCharType="separate"/>
      </w:r>
      <w:r>
        <w:rPr>
          <w:rFonts w:eastAsia="仿宋"/>
          <w:bCs/>
          <w:sz w:val="32"/>
          <w:szCs w:val="32"/>
        </w:rPr>
        <w:t>一、收入支出总体情况说明</w:t>
      </w:r>
      <w:r>
        <w:rPr>
          <w:rFonts w:eastAsia="仿宋"/>
          <w:sz w:val="32"/>
          <w:szCs w:val="32"/>
        </w:rPr>
        <w:tab/>
      </w:r>
      <w:r>
        <w:rPr>
          <w:rFonts w:eastAsia="仿宋"/>
          <w:sz w:val="32"/>
          <w:szCs w:val="32"/>
        </w:rPr>
        <w:fldChar w:fldCharType="end"/>
      </w:r>
      <w:r>
        <w:rPr>
          <w:rFonts w:eastAsia="仿宋"/>
          <w:sz w:val="32"/>
          <w:szCs w:val="32"/>
        </w:rPr>
        <w:t>3</w:t>
      </w:r>
    </w:p>
    <w:p w14:paraId="57A446BF">
      <w:pPr>
        <w:pStyle w:val="16"/>
        <w:tabs>
          <w:tab w:val="right" w:leader="dot" w:pos="8306"/>
        </w:tabs>
        <w:spacing w:line="578" w:lineRule="exact"/>
        <w:ind w:leftChars="0"/>
        <w:rPr>
          <w:rFonts w:eastAsia="仿宋"/>
          <w:sz w:val="32"/>
          <w:szCs w:val="32"/>
        </w:rPr>
      </w:pPr>
      <w:r>
        <w:fldChar w:fldCharType="begin"/>
      </w:r>
      <w:r>
        <w:instrText xml:space="preserve"> HYPERLINK \l "_Toc19535_WPSOffice_Level2" </w:instrText>
      </w:r>
      <w:r>
        <w:fldChar w:fldCharType="separate"/>
      </w:r>
      <w:r>
        <w:rPr>
          <w:rFonts w:eastAsia="仿宋"/>
          <w:bCs/>
          <w:sz w:val="32"/>
          <w:szCs w:val="32"/>
        </w:rPr>
        <w:t>二、收入决算情况说明</w:t>
      </w:r>
      <w:r>
        <w:rPr>
          <w:rFonts w:eastAsia="仿宋"/>
          <w:sz w:val="32"/>
          <w:szCs w:val="32"/>
        </w:rPr>
        <w:tab/>
      </w:r>
      <w:r>
        <w:rPr>
          <w:rFonts w:eastAsia="仿宋"/>
          <w:sz w:val="32"/>
          <w:szCs w:val="32"/>
        </w:rPr>
        <w:fldChar w:fldCharType="end"/>
      </w:r>
      <w:r>
        <w:rPr>
          <w:rFonts w:eastAsia="仿宋"/>
          <w:sz w:val="32"/>
          <w:szCs w:val="32"/>
        </w:rPr>
        <w:t>4</w:t>
      </w:r>
    </w:p>
    <w:p w14:paraId="4F06FEBA">
      <w:pPr>
        <w:pStyle w:val="16"/>
        <w:tabs>
          <w:tab w:val="right" w:leader="dot" w:pos="8306"/>
        </w:tabs>
        <w:spacing w:line="578" w:lineRule="exact"/>
        <w:ind w:leftChars="0"/>
        <w:rPr>
          <w:rFonts w:eastAsia="仿宋"/>
          <w:sz w:val="32"/>
          <w:szCs w:val="32"/>
        </w:rPr>
      </w:pPr>
      <w:r>
        <w:fldChar w:fldCharType="begin"/>
      </w:r>
      <w:r>
        <w:instrText xml:space="preserve"> HYPERLINK \l "_Toc19535_WPSOffice_Level2" </w:instrText>
      </w:r>
      <w:r>
        <w:fldChar w:fldCharType="separate"/>
      </w:r>
      <w:r>
        <w:rPr>
          <w:rFonts w:eastAsia="仿宋"/>
          <w:bCs/>
          <w:sz w:val="32"/>
          <w:szCs w:val="32"/>
        </w:rPr>
        <w:t>三、支出决算情况说明</w:t>
      </w:r>
      <w:r>
        <w:rPr>
          <w:rFonts w:eastAsia="仿宋"/>
          <w:sz w:val="32"/>
          <w:szCs w:val="32"/>
        </w:rPr>
        <w:tab/>
      </w:r>
      <w:r>
        <w:rPr>
          <w:rFonts w:eastAsia="仿宋"/>
          <w:sz w:val="32"/>
          <w:szCs w:val="32"/>
        </w:rPr>
        <w:fldChar w:fldCharType="end"/>
      </w:r>
      <w:r>
        <w:rPr>
          <w:rFonts w:eastAsia="仿宋"/>
          <w:sz w:val="32"/>
          <w:szCs w:val="32"/>
        </w:rPr>
        <w:t>4</w:t>
      </w:r>
    </w:p>
    <w:p w14:paraId="51A742D3">
      <w:pPr>
        <w:pStyle w:val="16"/>
        <w:tabs>
          <w:tab w:val="right" w:leader="dot" w:pos="8306"/>
        </w:tabs>
        <w:spacing w:line="578" w:lineRule="exact"/>
        <w:ind w:leftChars="0"/>
        <w:rPr>
          <w:rFonts w:eastAsia="仿宋"/>
          <w:sz w:val="32"/>
          <w:szCs w:val="32"/>
        </w:rPr>
      </w:pPr>
      <w:r>
        <w:fldChar w:fldCharType="begin"/>
      </w:r>
      <w:r>
        <w:instrText xml:space="preserve"> HYPERLINK \l "_Toc19535_WPSOffice_Level2" </w:instrText>
      </w:r>
      <w:r>
        <w:fldChar w:fldCharType="separate"/>
      </w:r>
      <w:r>
        <w:rPr>
          <w:rFonts w:eastAsia="仿宋"/>
          <w:bCs/>
          <w:sz w:val="32"/>
          <w:szCs w:val="32"/>
        </w:rPr>
        <w:t>四、财政拨款收入支出决算总体情况说明</w:t>
      </w:r>
      <w:r>
        <w:rPr>
          <w:rFonts w:eastAsia="仿宋"/>
          <w:sz w:val="32"/>
          <w:szCs w:val="32"/>
        </w:rPr>
        <w:tab/>
      </w:r>
      <w:r>
        <w:rPr>
          <w:rFonts w:eastAsia="仿宋"/>
          <w:sz w:val="32"/>
          <w:szCs w:val="32"/>
        </w:rPr>
        <w:fldChar w:fldCharType="end"/>
      </w:r>
      <w:r>
        <w:rPr>
          <w:rFonts w:eastAsia="仿宋"/>
          <w:sz w:val="32"/>
          <w:szCs w:val="32"/>
        </w:rPr>
        <w:t>4</w:t>
      </w:r>
    </w:p>
    <w:p w14:paraId="136D42F9">
      <w:pPr>
        <w:pStyle w:val="16"/>
        <w:tabs>
          <w:tab w:val="right" w:leader="dot" w:pos="8306"/>
        </w:tabs>
        <w:spacing w:line="578" w:lineRule="exact"/>
        <w:ind w:leftChars="0"/>
        <w:rPr>
          <w:rFonts w:eastAsia="仿宋"/>
          <w:sz w:val="32"/>
          <w:szCs w:val="32"/>
        </w:rPr>
      </w:pPr>
      <w:r>
        <w:fldChar w:fldCharType="begin"/>
      </w:r>
      <w:r>
        <w:instrText xml:space="preserve"> HYPERLINK \l "_Toc19535_WPSOffice_Level2" </w:instrText>
      </w:r>
      <w:r>
        <w:fldChar w:fldCharType="separate"/>
      </w:r>
      <w:r>
        <w:rPr>
          <w:rFonts w:eastAsia="仿宋"/>
          <w:bCs/>
          <w:sz w:val="32"/>
          <w:szCs w:val="32"/>
        </w:rPr>
        <w:t>五、一般公共预算财政拨款支出决算情况说明</w:t>
      </w:r>
      <w:r>
        <w:rPr>
          <w:rFonts w:eastAsia="仿宋"/>
          <w:sz w:val="32"/>
          <w:szCs w:val="32"/>
        </w:rPr>
        <w:tab/>
      </w:r>
      <w:r>
        <w:rPr>
          <w:rFonts w:eastAsia="仿宋"/>
          <w:sz w:val="32"/>
          <w:szCs w:val="32"/>
        </w:rPr>
        <w:fldChar w:fldCharType="end"/>
      </w:r>
      <w:r>
        <w:rPr>
          <w:rFonts w:eastAsia="仿宋"/>
          <w:sz w:val="32"/>
          <w:szCs w:val="32"/>
        </w:rPr>
        <w:t>5</w:t>
      </w:r>
    </w:p>
    <w:p w14:paraId="3AD64333">
      <w:pPr>
        <w:pStyle w:val="16"/>
        <w:tabs>
          <w:tab w:val="right" w:leader="dot" w:pos="8306"/>
        </w:tabs>
        <w:spacing w:line="578" w:lineRule="exact"/>
        <w:ind w:leftChars="0"/>
        <w:rPr>
          <w:rFonts w:eastAsia="仿宋"/>
          <w:sz w:val="32"/>
          <w:szCs w:val="32"/>
        </w:rPr>
      </w:pPr>
      <w:r>
        <w:fldChar w:fldCharType="begin"/>
      </w:r>
      <w:r>
        <w:instrText xml:space="preserve"> HYPERLINK \l "_Toc19535_WPSOffice_Level2" </w:instrText>
      </w:r>
      <w:r>
        <w:fldChar w:fldCharType="separate"/>
      </w:r>
      <w:r>
        <w:rPr>
          <w:rFonts w:eastAsia="仿宋"/>
          <w:bCs/>
          <w:sz w:val="32"/>
          <w:szCs w:val="32"/>
        </w:rPr>
        <w:t>六、一般公共预算财政拨款基本支出决算情况说明</w:t>
      </w:r>
      <w:r>
        <w:rPr>
          <w:rFonts w:eastAsia="仿宋"/>
          <w:bCs/>
          <w:sz w:val="32"/>
          <w:szCs w:val="32"/>
        </w:rPr>
        <w:fldChar w:fldCharType="end"/>
      </w:r>
      <w:r>
        <w:rPr>
          <w:rFonts w:eastAsia="仿宋"/>
          <w:sz w:val="32"/>
          <w:szCs w:val="32"/>
        </w:rPr>
        <w:tab/>
      </w:r>
      <w:r>
        <w:rPr>
          <w:rFonts w:eastAsia="仿宋"/>
          <w:sz w:val="32"/>
          <w:szCs w:val="32"/>
        </w:rPr>
        <w:t>6</w:t>
      </w:r>
    </w:p>
    <w:p w14:paraId="11FE7546">
      <w:pPr>
        <w:pStyle w:val="16"/>
        <w:numPr>
          <w:ilvl w:val="0"/>
          <w:numId w:val="1"/>
        </w:numPr>
        <w:tabs>
          <w:tab w:val="right" w:leader="dot" w:pos="8306"/>
        </w:tabs>
        <w:spacing w:line="578" w:lineRule="exact"/>
        <w:ind w:leftChars="0"/>
        <w:rPr>
          <w:rFonts w:eastAsia="仿宋"/>
          <w:sz w:val="32"/>
          <w:szCs w:val="32"/>
        </w:rPr>
      </w:pPr>
      <w:r>
        <w:rPr>
          <w:rFonts w:eastAsia="仿宋"/>
          <w:bCs/>
          <w:sz w:val="32"/>
          <w:szCs w:val="32"/>
        </w:rPr>
        <w:t>政府性基金预算财政拨款支出决算情况说明</w:t>
      </w:r>
      <w:r>
        <w:rPr>
          <w:rFonts w:eastAsia="仿宋"/>
          <w:sz w:val="32"/>
          <w:szCs w:val="32"/>
        </w:rPr>
        <w:tab/>
      </w:r>
      <w:r>
        <w:rPr>
          <w:rFonts w:eastAsia="仿宋"/>
          <w:sz w:val="32"/>
          <w:szCs w:val="32"/>
        </w:rPr>
        <w:t>7</w:t>
      </w:r>
    </w:p>
    <w:p w14:paraId="4D310FD4">
      <w:pPr>
        <w:pStyle w:val="16"/>
        <w:numPr>
          <w:ilvl w:val="0"/>
          <w:numId w:val="1"/>
        </w:numPr>
        <w:tabs>
          <w:tab w:val="right" w:leader="dot" w:pos="8306"/>
        </w:tabs>
        <w:spacing w:line="578" w:lineRule="exact"/>
        <w:ind w:leftChars="0"/>
        <w:rPr>
          <w:rFonts w:eastAsia="仿宋"/>
          <w:sz w:val="32"/>
          <w:szCs w:val="32"/>
        </w:rPr>
      </w:pPr>
      <w:r>
        <w:rPr>
          <w:rFonts w:eastAsia="仿宋"/>
          <w:bCs/>
          <w:sz w:val="32"/>
          <w:szCs w:val="32"/>
        </w:rPr>
        <w:t>国有资本经营预算财政拨款支出决算情况说明</w:t>
      </w:r>
      <w:r>
        <w:rPr>
          <w:rFonts w:eastAsia="仿宋"/>
          <w:sz w:val="32"/>
          <w:szCs w:val="32"/>
        </w:rPr>
        <w:tab/>
      </w:r>
      <w:r>
        <w:rPr>
          <w:rFonts w:eastAsia="仿宋"/>
          <w:sz w:val="32"/>
          <w:szCs w:val="32"/>
        </w:rPr>
        <w:t>8</w:t>
      </w:r>
    </w:p>
    <w:p w14:paraId="64992502">
      <w:pPr>
        <w:pStyle w:val="16"/>
        <w:tabs>
          <w:tab w:val="right" w:leader="dot" w:pos="8306"/>
        </w:tabs>
        <w:spacing w:line="578" w:lineRule="exact"/>
        <w:ind w:leftChars="0"/>
        <w:rPr>
          <w:rFonts w:eastAsia="仿宋"/>
          <w:sz w:val="32"/>
          <w:szCs w:val="32"/>
        </w:rPr>
      </w:pPr>
      <w:r>
        <w:fldChar w:fldCharType="begin"/>
      </w:r>
      <w:r>
        <w:instrText xml:space="preserve"> HYPERLINK \l "_Toc19535_WPSOffice_Level2" </w:instrText>
      </w:r>
      <w:r>
        <w:fldChar w:fldCharType="separate"/>
      </w:r>
      <w:r>
        <w:rPr>
          <w:rFonts w:eastAsia="仿宋"/>
          <w:bCs/>
          <w:sz w:val="32"/>
          <w:szCs w:val="32"/>
        </w:rPr>
        <w:t>九、财政拨款“三公”经费支出决算情况说明</w:t>
      </w:r>
      <w:r>
        <w:rPr>
          <w:rFonts w:eastAsia="仿宋"/>
          <w:sz w:val="32"/>
          <w:szCs w:val="32"/>
        </w:rPr>
        <w:tab/>
      </w:r>
      <w:r>
        <w:rPr>
          <w:rFonts w:eastAsia="仿宋"/>
          <w:sz w:val="32"/>
          <w:szCs w:val="32"/>
        </w:rPr>
        <w:fldChar w:fldCharType="end"/>
      </w:r>
      <w:r>
        <w:rPr>
          <w:rFonts w:eastAsia="仿宋"/>
          <w:sz w:val="32"/>
          <w:szCs w:val="32"/>
        </w:rPr>
        <w:t>9</w:t>
      </w:r>
    </w:p>
    <w:p w14:paraId="5562BD38">
      <w:pPr>
        <w:pStyle w:val="16"/>
        <w:tabs>
          <w:tab w:val="right" w:leader="dot" w:pos="8306"/>
        </w:tabs>
        <w:spacing w:line="578" w:lineRule="exact"/>
        <w:ind w:leftChars="0"/>
        <w:rPr>
          <w:rFonts w:eastAsia="仿宋"/>
          <w:sz w:val="32"/>
          <w:szCs w:val="32"/>
        </w:rPr>
      </w:pPr>
      <w:r>
        <w:fldChar w:fldCharType="begin"/>
      </w:r>
      <w:r>
        <w:instrText xml:space="preserve"> HYPERLINK \l "_Toc19535_WPSOffice_Level2" </w:instrText>
      </w:r>
      <w:r>
        <w:fldChar w:fldCharType="separate"/>
      </w:r>
      <w:r>
        <w:rPr>
          <w:rFonts w:eastAsia="仿宋"/>
          <w:bCs/>
          <w:sz w:val="32"/>
          <w:szCs w:val="32"/>
        </w:rPr>
        <w:t>十、预算绩效情况说明</w:t>
      </w:r>
      <w:r>
        <w:rPr>
          <w:rFonts w:eastAsia="仿宋"/>
          <w:sz w:val="32"/>
          <w:szCs w:val="32"/>
        </w:rPr>
        <w:tab/>
      </w:r>
      <w:r>
        <w:rPr>
          <w:rFonts w:eastAsia="仿宋"/>
          <w:sz w:val="32"/>
          <w:szCs w:val="32"/>
        </w:rPr>
        <w:fldChar w:fldCharType="end"/>
      </w:r>
      <w:r>
        <w:rPr>
          <w:rFonts w:eastAsia="仿宋"/>
          <w:sz w:val="32"/>
          <w:szCs w:val="32"/>
        </w:rPr>
        <w:t>11</w:t>
      </w:r>
    </w:p>
    <w:p w14:paraId="4375D60A">
      <w:pPr>
        <w:pStyle w:val="16"/>
        <w:tabs>
          <w:tab w:val="right" w:leader="dot" w:pos="8306"/>
        </w:tabs>
        <w:spacing w:line="578" w:lineRule="exact"/>
        <w:ind w:leftChars="0"/>
        <w:rPr>
          <w:rFonts w:eastAsia="仿宋"/>
          <w:sz w:val="32"/>
          <w:szCs w:val="32"/>
        </w:rPr>
      </w:pPr>
      <w:r>
        <w:rPr>
          <w:rFonts w:eastAsia="仿宋"/>
          <w:bCs/>
          <w:sz w:val="32"/>
          <w:szCs w:val="32"/>
        </w:rPr>
        <w:t>十一、其他重要事项情况说明</w:t>
      </w:r>
      <w:r>
        <w:rPr>
          <w:rFonts w:eastAsia="仿宋"/>
          <w:sz w:val="32"/>
          <w:szCs w:val="32"/>
        </w:rPr>
        <w:tab/>
      </w:r>
      <w:r>
        <w:rPr>
          <w:rFonts w:eastAsia="仿宋"/>
          <w:sz w:val="32"/>
          <w:szCs w:val="32"/>
        </w:rPr>
        <w:t>13</w:t>
      </w:r>
    </w:p>
    <w:p w14:paraId="04A014F2">
      <w:pPr>
        <w:pStyle w:val="15"/>
        <w:tabs>
          <w:tab w:val="right" w:leader="dot" w:pos="8306"/>
        </w:tabs>
        <w:spacing w:line="578" w:lineRule="exact"/>
        <w:rPr>
          <w:b/>
          <w:sz w:val="32"/>
          <w:szCs w:val="32"/>
        </w:rPr>
      </w:pPr>
      <w:r>
        <w:fldChar w:fldCharType="begin"/>
      </w:r>
      <w:r>
        <w:instrText xml:space="preserve"> HYPERLINK \l "_Toc15425_WPSOffice_Level1" </w:instrText>
      </w:r>
      <w:r>
        <w:fldChar w:fldCharType="separate"/>
      </w:r>
      <w:r>
        <w:rPr>
          <w:rFonts w:eastAsia="黑体"/>
          <w:sz w:val="32"/>
          <w:szCs w:val="32"/>
        </w:rPr>
        <w:t>第四部分  名词解释</w:t>
      </w:r>
      <w:r>
        <w:rPr>
          <w:sz w:val="32"/>
          <w:szCs w:val="32"/>
        </w:rPr>
        <w:tab/>
      </w:r>
      <w:bookmarkStart w:id="1" w:name="_Toc15425_WPSOffice_Level1Page"/>
      <w:r>
        <w:rPr>
          <w:sz w:val="32"/>
          <w:szCs w:val="32"/>
        </w:rPr>
        <w:t>1</w:t>
      </w:r>
      <w:bookmarkEnd w:id="1"/>
      <w:r>
        <w:rPr>
          <w:sz w:val="32"/>
          <w:szCs w:val="32"/>
        </w:rPr>
        <w:fldChar w:fldCharType="end"/>
      </w:r>
      <w:bookmarkEnd w:id="0"/>
      <w:r>
        <w:rPr>
          <w:sz w:val="32"/>
          <w:szCs w:val="32"/>
        </w:rPr>
        <w:t>5</w:t>
      </w:r>
    </w:p>
    <w:p w14:paraId="7F88D11B">
      <w:pPr>
        <w:spacing w:line="578" w:lineRule="exact"/>
        <w:rPr>
          <w:rFonts w:eastAsia="黑体"/>
          <w:sz w:val="32"/>
          <w:szCs w:val="32"/>
        </w:rPr>
      </w:pPr>
      <w:bookmarkStart w:id="2" w:name="_Toc1704_WPSOffice_Level1"/>
      <w:bookmarkStart w:id="3" w:name="_Toc22941_WPSOffice_Level1"/>
      <w:bookmarkStart w:id="4" w:name="_Toc23465_WPSOffice_Level1"/>
      <w:bookmarkStart w:id="5" w:name="_Toc10049_WPSOffice_Level1"/>
      <w:bookmarkStart w:id="6" w:name="_Toc10720_WPSOffice_Level1"/>
      <w:bookmarkStart w:id="7" w:name="_Toc32433_WPSOffice_Level1"/>
      <w:bookmarkStart w:id="8" w:name="_Toc20274_WPSOffice_Level2"/>
      <w:bookmarkStart w:id="9" w:name="_Toc14159_WPSOffice_Level2"/>
      <w:bookmarkStart w:id="10" w:name="_Toc20205_WPSOffice_Level2"/>
      <w:bookmarkStart w:id="11" w:name="_Toc32622_WPSOffice_Level2"/>
      <w:bookmarkStart w:id="12" w:name="_Toc24238_WPSOffice_Level2"/>
      <w:bookmarkStart w:id="13" w:name="_Toc26580_WPSOffice_Level2"/>
    </w:p>
    <w:p w14:paraId="544E8AF9">
      <w:pPr>
        <w:spacing w:line="578" w:lineRule="exact"/>
        <w:jc w:val="center"/>
        <w:rPr>
          <w:rFonts w:eastAsia="方正黑体简体"/>
          <w:sz w:val="32"/>
          <w:szCs w:val="32"/>
        </w:rPr>
      </w:pPr>
      <w:r>
        <w:rPr>
          <w:rFonts w:eastAsia="方正黑体简体"/>
          <w:sz w:val="32"/>
          <w:szCs w:val="32"/>
        </w:rPr>
        <w:t xml:space="preserve">第一部分  </w:t>
      </w:r>
      <w:bookmarkEnd w:id="2"/>
      <w:bookmarkEnd w:id="3"/>
      <w:bookmarkEnd w:id="4"/>
      <w:bookmarkEnd w:id="5"/>
      <w:bookmarkEnd w:id="6"/>
      <w:bookmarkEnd w:id="7"/>
      <w:r>
        <w:rPr>
          <w:rFonts w:eastAsia="方正黑体简体"/>
          <w:sz w:val="32"/>
          <w:szCs w:val="32"/>
        </w:rPr>
        <w:t>基本情况</w:t>
      </w:r>
    </w:p>
    <w:bookmarkEnd w:id="8"/>
    <w:bookmarkEnd w:id="9"/>
    <w:bookmarkEnd w:id="10"/>
    <w:bookmarkEnd w:id="11"/>
    <w:bookmarkEnd w:id="12"/>
    <w:bookmarkEnd w:id="13"/>
    <w:p w14:paraId="3FEB5586">
      <w:pPr>
        <w:spacing w:line="578" w:lineRule="exact"/>
        <w:ind w:firstLine="640" w:firstLineChars="200"/>
        <w:rPr>
          <w:rFonts w:eastAsia="方正黑体简体"/>
          <w:sz w:val="32"/>
          <w:szCs w:val="32"/>
        </w:rPr>
      </w:pPr>
      <w:r>
        <w:rPr>
          <w:rFonts w:eastAsia="方正黑体简体"/>
          <w:sz w:val="32"/>
          <w:szCs w:val="32"/>
        </w:rPr>
        <w:t>一、部门（单位）职责</w:t>
      </w:r>
    </w:p>
    <w:p w14:paraId="4F05D6B1">
      <w:pPr>
        <w:spacing w:line="560" w:lineRule="exact"/>
        <w:ind w:firstLine="707" w:firstLineChars="221"/>
        <w:rPr>
          <w:rFonts w:eastAsia="方正仿宋简体"/>
          <w:sz w:val="32"/>
          <w:szCs w:val="32"/>
        </w:rPr>
      </w:pPr>
      <w:r>
        <w:rPr>
          <w:rFonts w:eastAsia="方正仿宋简体"/>
          <w:sz w:val="32"/>
          <w:szCs w:val="32"/>
        </w:rPr>
        <w:t>根据那机编字[2005]6号文件，我中心的主要职责：1、制定和实施疾病预防控制规划、方案，组织开展疾病暴发调查处理和报告，组织实施计划免疫工作；2、调查突发公共卫生事件的危险因素，实施控制措施；3、开展常见病原微生物检验检测和常见毒物、污染物的检验鉴定；4、指导11县（区）级疾病预防控制机构开展健康教育与健康促进；5、负责对11县（区）疾病预防控制机构的业务指导、人员培训和业务考核；6、组织实施公共卫生健康危险因素和疾病的监测，处理辖区疫情及相关公共卫生信息；7、承担上级部门交办的其他任务。</w:t>
      </w:r>
    </w:p>
    <w:p w14:paraId="5A984F5C">
      <w:pPr>
        <w:spacing w:line="578" w:lineRule="exact"/>
        <w:jc w:val="left"/>
        <w:rPr>
          <w:rFonts w:eastAsia="方正黑体简体"/>
          <w:sz w:val="32"/>
          <w:szCs w:val="32"/>
        </w:rPr>
      </w:pPr>
      <w:bookmarkStart w:id="14" w:name="_Toc4833_WPSOffice_Level2"/>
      <w:bookmarkStart w:id="15" w:name="_Toc17796_WPSOffice_Level2"/>
      <w:bookmarkStart w:id="16" w:name="_Toc24059_WPSOffice_Level2"/>
      <w:bookmarkStart w:id="17" w:name="_Toc6572_WPSOffice_Level2"/>
      <w:bookmarkStart w:id="18" w:name="_Toc24474_WPSOffice_Level2"/>
      <w:r>
        <w:rPr>
          <w:rFonts w:eastAsia="方正黑体简体"/>
          <w:sz w:val="32"/>
          <w:szCs w:val="32"/>
        </w:rPr>
        <w:t>二、机构设置</w:t>
      </w:r>
      <w:bookmarkEnd w:id="14"/>
      <w:bookmarkEnd w:id="15"/>
      <w:bookmarkEnd w:id="16"/>
      <w:bookmarkEnd w:id="17"/>
      <w:bookmarkEnd w:id="18"/>
    </w:p>
    <w:p w14:paraId="47A41190">
      <w:pPr>
        <w:spacing w:line="578" w:lineRule="exact"/>
        <w:ind w:firstLine="480" w:firstLineChars="150"/>
        <w:rPr>
          <w:rFonts w:eastAsia="方正仿宋简体"/>
          <w:sz w:val="32"/>
          <w:szCs w:val="32"/>
        </w:rPr>
      </w:pPr>
      <w:r>
        <w:rPr>
          <w:rFonts w:eastAsia="方正仿宋简体"/>
          <w:sz w:val="32"/>
          <w:szCs w:val="32"/>
        </w:rPr>
        <w:t>纳入那曲市疾病预防控制中心部门本级2024年度部门决算编制范围的单位共1个即</w:t>
      </w:r>
      <w:r>
        <w:rPr>
          <w:rFonts w:hint="eastAsia" w:eastAsia="方正仿宋简体"/>
          <w:sz w:val="32"/>
          <w:szCs w:val="32"/>
          <w:lang w:eastAsia="zh-CN"/>
        </w:rPr>
        <w:t>：</w:t>
      </w:r>
      <w:bookmarkStart w:id="119" w:name="_GoBack"/>
      <w:bookmarkEnd w:id="119"/>
      <w:r>
        <w:rPr>
          <w:rFonts w:eastAsia="方正仿宋简体"/>
          <w:sz w:val="32"/>
          <w:szCs w:val="32"/>
        </w:rPr>
        <w:t>那曲市疾病预防控制中心。</w:t>
      </w:r>
      <w:r>
        <w:rPr>
          <w:rFonts w:hint="eastAsia" w:eastAsia="方正仿宋简体"/>
          <w:sz w:val="32"/>
          <w:szCs w:val="32"/>
        </w:rPr>
        <w:t xml:space="preserve"> </w:t>
      </w:r>
    </w:p>
    <w:p w14:paraId="641BA32F">
      <w:pPr>
        <w:spacing w:line="578" w:lineRule="exact"/>
        <w:ind w:firstLine="480" w:firstLineChars="150"/>
        <w:rPr>
          <w:rFonts w:eastAsia="方正仿宋简体"/>
          <w:sz w:val="32"/>
          <w:szCs w:val="32"/>
        </w:rPr>
      </w:pPr>
      <w:r>
        <w:rPr>
          <w:rFonts w:eastAsia="方正仿宋简体"/>
          <w:sz w:val="32"/>
          <w:szCs w:val="32"/>
        </w:rPr>
        <w:t>单位内设机构14个，包含：办公室、财务科、党建政工科、检验科、地方病防治科、鼠疫-布病防治科、寄生虫病防治科、传防科、总务科、医废处置科、慢病健教科、免规科、艾结科、卫生科。人员情况，包括当年变动情况及原因。上年末退休人员68人，本年度退休人员68人，无新增和去世；本年末实有75人；上年度末在职人数76人，本年度减少一名援藏，本年度年末实有数为75人。</w:t>
      </w:r>
    </w:p>
    <w:p w14:paraId="723C2585">
      <w:pPr>
        <w:spacing w:line="578" w:lineRule="exact"/>
        <w:jc w:val="center"/>
        <w:rPr>
          <w:rFonts w:eastAsia="仿宋_GB2312"/>
          <w:sz w:val="32"/>
          <w:szCs w:val="32"/>
        </w:rPr>
      </w:pPr>
      <w:bookmarkStart w:id="19" w:name="_Toc30690_WPSOffice_Level1"/>
      <w:bookmarkStart w:id="20" w:name="_Toc15521_WPSOffice_Level1"/>
      <w:bookmarkStart w:id="21" w:name="_Toc28253_WPSOffice_Level1"/>
      <w:bookmarkStart w:id="22" w:name="_Toc30451_WPSOffice_Level1"/>
      <w:bookmarkStart w:id="23" w:name="_Toc6234_WPSOffice_Level1"/>
      <w:bookmarkStart w:id="24" w:name="_Toc8164_WPSOffice_Level1"/>
      <w:bookmarkStart w:id="25" w:name="_Toc6211_WPSOffice_Level2"/>
      <w:bookmarkStart w:id="26" w:name="_Toc32695_WPSOffice_Level2"/>
      <w:bookmarkStart w:id="27" w:name="_Toc11518_WPSOffice_Level2"/>
      <w:bookmarkStart w:id="28" w:name="_Toc32472_WPSOffice_Level2"/>
      <w:bookmarkStart w:id="29" w:name="_Toc4029_WPSOffice_Level2"/>
      <w:bookmarkStart w:id="30" w:name="_Toc8867_WPSOffice_Level2"/>
    </w:p>
    <w:p w14:paraId="66A7A761">
      <w:pPr>
        <w:spacing w:line="578" w:lineRule="exact"/>
        <w:jc w:val="center"/>
        <w:rPr>
          <w:rFonts w:eastAsia="黑体"/>
          <w:sz w:val="32"/>
          <w:szCs w:val="32"/>
        </w:rPr>
      </w:pPr>
      <w:r>
        <w:rPr>
          <w:rFonts w:eastAsia="黑体"/>
          <w:sz w:val="32"/>
          <w:szCs w:val="32"/>
        </w:rPr>
        <w:t>第二部分  2025年度部门决算公开报表</w:t>
      </w:r>
      <w:bookmarkEnd w:id="19"/>
      <w:bookmarkEnd w:id="20"/>
      <w:bookmarkEnd w:id="21"/>
      <w:bookmarkEnd w:id="22"/>
      <w:bookmarkEnd w:id="23"/>
      <w:bookmarkEnd w:id="24"/>
    </w:p>
    <w:p w14:paraId="21105CD5">
      <w:pPr>
        <w:spacing w:line="578" w:lineRule="exact"/>
        <w:ind w:firstLine="645"/>
        <w:rPr>
          <w:rFonts w:eastAsia="黑体"/>
          <w:sz w:val="32"/>
          <w:szCs w:val="32"/>
        </w:rPr>
      </w:pPr>
    </w:p>
    <w:p w14:paraId="11C02AC4">
      <w:pPr>
        <w:spacing w:line="578" w:lineRule="exact"/>
        <w:ind w:firstLine="645"/>
        <w:rPr>
          <w:rFonts w:eastAsia="黑体"/>
          <w:sz w:val="32"/>
          <w:szCs w:val="32"/>
        </w:rPr>
      </w:pPr>
      <w:r>
        <w:rPr>
          <w:rFonts w:eastAsia="黑体"/>
          <w:sz w:val="32"/>
          <w:szCs w:val="32"/>
        </w:rPr>
        <w:t>一、收入支出决算公开表</w:t>
      </w:r>
      <w:bookmarkEnd w:id="25"/>
      <w:bookmarkEnd w:id="26"/>
      <w:bookmarkEnd w:id="27"/>
      <w:bookmarkEnd w:id="28"/>
      <w:bookmarkEnd w:id="29"/>
      <w:bookmarkEnd w:id="30"/>
    </w:p>
    <w:p w14:paraId="72894BA5">
      <w:pPr>
        <w:spacing w:line="578" w:lineRule="exact"/>
        <w:ind w:firstLine="645"/>
        <w:rPr>
          <w:rFonts w:eastAsia="黑体"/>
          <w:sz w:val="32"/>
          <w:szCs w:val="32"/>
        </w:rPr>
      </w:pPr>
      <w:bookmarkStart w:id="31" w:name="_Toc28622_WPSOffice_Level2"/>
      <w:bookmarkStart w:id="32" w:name="_Toc30334_WPSOffice_Level2"/>
      <w:bookmarkStart w:id="33" w:name="_Toc26621_WPSOffice_Level2"/>
      <w:bookmarkStart w:id="34" w:name="_Toc25608_WPSOffice_Level2"/>
      <w:bookmarkStart w:id="35" w:name="_Toc14349_WPSOffice_Level2"/>
      <w:bookmarkStart w:id="36" w:name="_Toc23139_WPSOffice_Level2"/>
      <w:r>
        <w:rPr>
          <w:rFonts w:eastAsia="黑体"/>
          <w:sz w:val="32"/>
          <w:szCs w:val="32"/>
        </w:rPr>
        <w:t>二、收入决算公开表</w:t>
      </w:r>
      <w:bookmarkEnd w:id="31"/>
      <w:bookmarkEnd w:id="32"/>
      <w:bookmarkEnd w:id="33"/>
      <w:bookmarkEnd w:id="34"/>
      <w:bookmarkEnd w:id="35"/>
      <w:bookmarkEnd w:id="36"/>
      <w:bookmarkStart w:id="37" w:name="_Toc3262_WPSOffice_Level2"/>
      <w:bookmarkStart w:id="38" w:name="_Toc17858_WPSOffice_Level2"/>
      <w:bookmarkStart w:id="39" w:name="_Toc5489_WPSOffice_Level2"/>
      <w:bookmarkStart w:id="40" w:name="_Toc13854_WPSOffice_Level2"/>
      <w:bookmarkStart w:id="41" w:name="_Toc14658_WPSOffice_Level2"/>
      <w:bookmarkStart w:id="42" w:name="_Toc17626_WPSOffice_Level2"/>
    </w:p>
    <w:p w14:paraId="1A2632F6">
      <w:pPr>
        <w:spacing w:line="578" w:lineRule="exact"/>
        <w:ind w:firstLine="645"/>
        <w:rPr>
          <w:rFonts w:eastAsia="黑体"/>
          <w:sz w:val="32"/>
          <w:szCs w:val="32"/>
        </w:rPr>
      </w:pPr>
      <w:r>
        <w:rPr>
          <w:rFonts w:eastAsia="黑体"/>
          <w:sz w:val="32"/>
          <w:szCs w:val="32"/>
        </w:rPr>
        <w:t>三、支出决算公开表</w:t>
      </w:r>
      <w:bookmarkEnd w:id="37"/>
      <w:bookmarkEnd w:id="38"/>
      <w:bookmarkEnd w:id="39"/>
      <w:bookmarkEnd w:id="40"/>
      <w:bookmarkEnd w:id="41"/>
      <w:bookmarkEnd w:id="42"/>
      <w:bookmarkStart w:id="43" w:name="_Toc21415_WPSOffice_Level2"/>
      <w:bookmarkStart w:id="44" w:name="_Toc23493_WPSOffice_Level2"/>
      <w:bookmarkStart w:id="45" w:name="_Toc13701_WPSOffice_Level2"/>
      <w:bookmarkStart w:id="46" w:name="_Toc23591_WPSOffice_Level2"/>
      <w:bookmarkStart w:id="47" w:name="_Toc4265_WPSOffice_Level2"/>
      <w:bookmarkStart w:id="48" w:name="_Toc7988_WPSOffice_Level2"/>
    </w:p>
    <w:p w14:paraId="44CC00CF">
      <w:pPr>
        <w:spacing w:line="578" w:lineRule="exact"/>
        <w:ind w:firstLine="645"/>
        <w:rPr>
          <w:rFonts w:eastAsia="黑体"/>
          <w:sz w:val="32"/>
          <w:szCs w:val="32"/>
        </w:rPr>
      </w:pPr>
      <w:r>
        <w:rPr>
          <w:rFonts w:eastAsia="黑体"/>
          <w:sz w:val="32"/>
          <w:szCs w:val="32"/>
        </w:rPr>
        <w:t>四、财政拨款收入支出决算公开表</w:t>
      </w:r>
      <w:bookmarkEnd w:id="43"/>
      <w:bookmarkEnd w:id="44"/>
      <w:bookmarkEnd w:id="45"/>
      <w:bookmarkEnd w:id="46"/>
      <w:bookmarkEnd w:id="47"/>
      <w:bookmarkEnd w:id="48"/>
    </w:p>
    <w:p w14:paraId="1E761963">
      <w:pPr>
        <w:spacing w:line="578" w:lineRule="exact"/>
        <w:ind w:firstLine="645"/>
        <w:rPr>
          <w:rFonts w:eastAsia="黑体"/>
          <w:sz w:val="32"/>
          <w:szCs w:val="32"/>
        </w:rPr>
      </w:pPr>
      <w:bookmarkStart w:id="49" w:name="_Toc7879_WPSOffice_Level2"/>
      <w:bookmarkStart w:id="50" w:name="_Toc25166_WPSOffice_Level2"/>
      <w:bookmarkStart w:id="51" w:name="_Toc23829_WPSOffice_Level2"/>
      <w:bookmarkStart w:id="52" w:name="_Toc22783_WPSOffice_Level2"/>
      <w:bookmarkStart w:id="53" w:name="_Toc13516_WPSOffice_Level2"/>
      <w:bookmarkStart w:id="54" w:name="_Toc2158_WPSOffice_Level2"/>
      <w:r>
        <w:rPr>
          <w:rFonts w:eastAsia="黑体"/>
          <w:sz w:val="32"/>
          <w:szCs w:val="32"/>
        </w:rPr>
        <w:t>五、一般公共预算财政拨款收入支出决算</w:t>
      </w:r>
      <w:bookmarkEnd w:id="49"/>
      <w:bookmarkEnd w:id="50"/>
      <w:bookmarkEnd w:id="51"/>
      <w:bookmarkEnd w:id="52"/>
      <w:r>
        <w:rPr>
          <w:rFonts w:eastAsia="黑体"/>
          <w:sz w:val="32"/>
          <w:szCs w:val="32"/>
        </w:rPr>
        <w:t>公开表</w:t>
      </w:r>
      <w:bookmarkEnd w:id="53"/>
      <w:bookmarkEnd w:id="54"/>
      <w:bookmarkStart w:id="55" w:name="_Toc17283_WPSOffice_Level2"/>
      <w:bookmarkStart w:id="56" w:name="_Toc25362_WPSOffice_Level2"/>
      <w:bookmarkStart w:id="57" w:name="_Toc2632_WPSOffice_Level2"/>
      <w:bookmarkStart w:id="58" w:name="_Toc8373_WPSOffice_Level2"/>
      <w:bookmarkStart w:id="59" w:name="_Toc17833_WPSOffice_Level2"/>
      <w:bookmarkStart w:id="60" w:name="_Toc5343_WPSOffice_Level2"/>
    </w:p>
    <w:p w14:paraId="572E58E5">
      <w:pPr>
        <w:spacing w:line="578" w:lineRule="exact"/>
        <w:ind w:firstLine="645"/>
        <w:rPr>
          <w:rFonts w:eastAsia="黑体"/>
          <w:sz w:val="32"/>
          <w:szCs w:val="32"/>
        </w:rPr>
      </w:pPr>
      <w:r>
        <w:rPr>
          <w:rFonts w:eastAsia="黑体"/>
          <w:sz w:val="32"/>
          <w:szCs w:val="32"/>
        </w:rPr>
        <w:t>六、一般公共预算财政拨款基本支出决算</w:t>
      </w:r>
      <w:bookmarkEnd w:id="55"/>
      <w:bookmarkEnd w:id="56"/>
      <w:bookmarkEnd w:id="57"/>
      <w:bookmarkEnd w:id="58"/>
      <w:bookmarkEnd w:id="59"/>
      <w:bookmarkEnd w:id="60"/>
      <w:r>
        <w:rPr>
          <w:rFonts w:eastAsia="黑体"/>
          <w:sz w:val="32"/>
          <w:szCs w:val="32"/>
        </w:rPr>
        <w:t>公开表</w:t>
      </w:r>
    </w:p>
    <w:p w14:paraId="27FBBA87">
      <w:pPr>
        <w:spacing w:line="578" w:lineRule="exact"/>
        <w:ind w:left="1118" w:leftChars="304" w:hanging="480" w:hangingChars="150"/>
        <w:rPr>
          <w:rFonts w:eastAsia="黑体"/>
          <w:sz w:val="32"/>
          <w:szCs w:val="32"/>
        </w:rPr>
      </w:pPr>
      <w:bookmarkStart w:id="61" w:name="_Toc1533_WPSOffice_Level2"/>
      <w:bookmarkStart w:id="62" w:name="_Toc13345_WPSOffice_Level2"/>
      <w:bookmarkStart w:id="63" w:name="_Toc6020_WPSOffice_Level2"/>
      <w:bookmarkStart w:id="64" w:name="_Toc5594_WPSOffice_Level2"/>
      <w:bookmarkStart w:id="65" w:name="_Toc11799_WPSOffice_Level2"/>
      <w:bookmarkStart w:id="66" w:name="_Toc21310_WPSOffice_Level2"/>
      <w:r>
        <w:rPr>
          <w:rFonts w:eastAsia="黑体"/>
          <w:sz w:val="32"/>
          <w:szCs w:val="32"/>
        </w:rPr>
        <w:t>七、政府性基金预算财政拨款收入支出决算</w:t>
      </w:r>
      <w:bookmarkEnd w:id="61"/>
      <w:bookmarkEnd w:id="62"/>
      <w:bookmarkEnd w:id="63"/>
      <w:bookmarkEnd w:id="64"/>
      <w:bookmarkEnd w:id="65"/>
      <w:bookmarkEnd w:id="66"/>
      <w:r>
        <w:rPr>
          <w:rFonts w:eastAsia="黑体"/>
          <w:sz w:val="32"/>
          <w:szCs w:val="32"/>
        </w:rPr>
        <w:t>公开表</w:t>
      </w:r>
    </w:p>
    <w:p w14:paraId="253E8782">
      <w:pPr>
        <w:spacing w:line="578" w:lineRule="exact"/>
        <w:ind w:left="1118" w:leftChars="304" w:hanging="480" w:hangingChars="150"/>
        <w:rPr>
          <w:rFonts w:eastAsia="黑体"/>
          <w:sz w:val="32"/>
          <w:szCs w:val="32"/>
        </w:rPr>
      </w:pPr>
      <w:r>
        <w:rPr>
          <w:rFonts w:eastAsia="黑体"/>
          <w:sz w:val="32"/>
          <w:szCs w:val="32"/>
        </w:rPr>
        <w:t>八、国有资本经营预算财政拨款收入支出决算公开表</w:t>
      </w:r>
    </w:p>
    <w:p w14:paraId="693F6179">
      <w:pPr>
        <w:spacing w:line="578" w:lineRule="exact"/>
        <w:ind w:firstLine="640"/>
        <w:rPr>
          <w:rFonts w:eastAsia="黑体"/>
          <w:sz w:val="32"/>
          <w:szCs w:val="32"/>
        </w:rPr>
      </w:pPr>
      <w:bookmarkStart w:id="67" w:name="_Toc19961_WPSOffice_Level2"/>
      <w:bookmarkStart w:id="68" w:name="_Toc29886_WPSOffice_Level2"/>
      <w:bookmarkStart w:id="69" w:name="_Toc1820_WPSOffice_Level2"/>
      <w:bookmarkStart w:id="70" w:name="_Toc9377_WPSOffice_Level2"/>
      <w:r>
        <w:rPr>
          <w:rFonts w:eastAsia="黑体"/>
          <w:sz w:val="32"/>
          <w:szCs w:val="32"/>
        </w:rPr>
        <w:t>九、财政拨款“三公”经费支出决算</w:t>
      </w:r>
      <w:bookmarkEnd w:id="67"/>
      <w:bookmarkEnd w:id="68"/>
      <w:bookmarkEnd w:id="69"/>
      <w:bookmarkEnd w:id="70"/>
      <w:r>
        <w:rPr>
          <w:rFonts w:eastAsia="黑体"/>
          <w:sz w:val="32"/>
          <w:szCs w:val="32"/>
        </w:rPr>
        <w:t>公开表</w:t>
      </w:r>
    </w:p>
    <w:p w14:paraId="7C40CD13">
      <w:pPr>
        <w:spacing w:line="578" w:lineRule="exact"/>
        <w:ind w:firstLine="640"/>
        <w:rPr>
          <w:rFonts w:eastAsia="仿宋"/>
          <w:sz w:val="32"/>
          <w:szCs w:val="32"/>
        </w:rPr>
      </w:pPr>
      <w:r>
        <w:rPr>
          <w:rFonts w:eastAsia="仿宋"/>
          <w:sz w:val="32"/>
          <w:szCs w:val="32"/>
        </w:rPr>
        <w:t xml:space="preserve">   </w:t>
      </w:r>
    </w:p>
    <w:p w14:paraId="3AA0127B">
      <w:pPr>
        <w:spacing w:line="578" w:lineRule="exact"/>
        <w:rPr>
          <w:rFonts w:eastAsia="黑体"/>
          <w:sz w:val="32"/>
          <w:szCs w:val="32"/>
        </w:rPr>
      </w:pPr>
    </w:p>
    <w:p w14:paraId="17B20246">
      <w:pPr>
        <w:spacing w:line="578" w:lineRule="exact"/>
        <w:jc w:val="center"/>
        <w:rPr>
          <w:rFonts w:eastAsia="黑体"/>
          <w:sz w:val="32"/>
          <w:szCs w:val="32"/>
        </w:rPr>
      </w:pPr>
      <w:bookmarkStart w:id="71" w:name="_Toc27590_WPSOffice_Level1"/>
      <w:bookmarkStart w:id="72" w:name="_Toc29683_WPSOffice_Level1"/>
      <w:bookmarkStart w:id="73" w:name="_Toc16686_WPSOffice_Level1"/>
      <w:bookmarkStart w:id="74" w:name="_Toc31264_WPSOffice_Level1"/>
      <w:bookmarkStart w:id="75" w:name="_Toc4402_WPSOffice_Level1"/>
      <w:bookmarkStart w:id="76" w:name="_Toc28629_WPSOffice_Level1"/>
      <w:r>
        <w:rPr>
          <w:rFonts w:eastAsia="黑体"/>
          <w:sz w:val="32"/>
          <w:szCs w:val="32"/>
        </w:rPr>
        <w:t>第三部分  2025年度部门决算情况说明</w:t>
      </w:r>
      <w:bookmarkEnd w:id="71"/>
      <w:bookmarkEnd w:id="72"/>
      <w:bookmarkEnd w:id="73"/>
      <w:bookmarkEnd w:id="74"/>
      <w:bookmarkEnd w:id="75"/>
      <w:bookmarkEnd w:id="76"/>
    </w:p>
    <w:p w14:paraId="4474D96E">
      <w:pPr>
        <w:numPr>
          <w:ilvl w:val="0"/>
          <w:numId w:val="2"/>
        </w:numPr>
        <w:spacing w:line="578" w:lineRule="exact"/>
        <w:rPr>
          <w:rFonts w:eastAsia="黑体"/>
          <w:bCs/>
          <w:sz w:val="32"/>
          <w:szCs w:val="32"/>
        </w:rPr>
      </w:pPr>
      <w:r>
        <w:rPr>
          <w:rFonts w:eastAsia="黑体"/>
          <w:bCs/>
          <w:sz w:val="32"/>
          <w:szCs w:val="32"/>
        </w:rPr>
        <w:t>收入支出总体情况说明</w:t>
      </w:r>
    </w:p>
    <w:p w14:paraId="7C4BF7E6">
      <w:pPr>
        <w:spacing w:line="578" w:lineRule="exact"/>
        <w:ind w:firstLine="640" w:firstLineChars="200"/>
        <w:rPr>
          <w:rFonts w:eastAsia="方正仿宋简体"/>
          <w:sz w:val="32"/>
          <w:szCs w:val="32"/>
        </w:rPr>
      </w:pPr>
      <w:r>
        <w:rPr>
          <w:rFonts w:eastAsia="方正仿宋简体"/>
          <w:sz w:val="32"/>
          <w:szCs w:val="32"/>
        </w:rPr>
        <w:t>2025年度收入总计4,762.91万元，支出总计4,762.91万元，与2024年度相比，收入、支出总计各减少198.14万元，降幅4.18%，因有三人正式工调出、一人公益性去世、减少病媒微生物防治项目经费29.1万元、减少疫情监测和常态化预警能力建设资金279.58万元。减少乙肝抗体检测及疫苗补种经费421.71万元。</w:t>
      </w:r>
    </w:p>
    <w:p w14:paraId="29A0A248">
      <w:pPr>
        <w:spacing w:line="578" w:lineRule="exact"/>
        <w:ind w:firstLine="640" w:firstLineChars="200"/>
        <w:rPr>
          <w:rFonts w:eastAsia="方正仿宋简体"/>
          <w:sz w:val="32"/>
          <w:szCs w:val="32"/>
        </w:rPr>
      </w:pPr>
      <w:r>
        <w:rPr>
          <w:rFonts w:eastAsia="楷体"/>
          <w:sz w:val="32"/>
          <w:szCs w:val="32"/>
        </w:rPr>
        <w:t>（一）收入总计主要构成</w:t>
      </w:r>
    </w:p>
    <w:p w14:paraId="3467A5F1">
      <w:pPr>
        <w:spacing w:line="578" w:lineRule="exact"/>
        <w:ind w:firstLine="640" w:firstLineChars="200"/>
        <w:rPr>
          <w:rFonts w:eastAsia="方正仿宋简体"/>
          <w:sz w:val="32"/>
          <w:szCs w:val="32"/>
        </w:rPr>
      </w:pPr>
      <w:r>
        <w:rPr>
          <w:rFonts w:eastAsia="方正仿宋简体"/>
          <w:sz w:val="32"/>
          <w:szCs w:val="32"/>
        </w:rPr>
        <w:t>本年收入4,541.97万元。</w:t>
      </w:r>
    </w:p>
    <w:p w14:paraId="1BB89CF8">
      <w:pPr>
        <w:spacing w:line="578" w:lineRule="exact"/>
        <w:ind w:firstLine="640" w:firstLineChars="200"/>
        <w:rPr>
          <w:rFonts w:eastAsia="方正仿宋简体"/>
          <w:sz w:val="32"/>
          <w:szCs w:val="32"/>
        </w:rPr>
      </w:pPr>
      <w:r>
        <w:rPr>
          <w:rFonts w:eastAsia="方正仿宋简体"/>
          <w:sz w:val="32"/>
          <w:szCs w:val="32"/>
        </w:rPr>
        <w:t>使用非财政拨款结余0.00万元，较2024年度决算数比上年数减少103.83万元，降幅2.24%，因有三人正式工调出、一人公益性去世、减少病媒微生物防治项目经费29.1万元</w:t>
      </w:r>
    </w:p>
    <w:p w14:paraId="61A34190">
      <w:pPr>
        <w:spacing w:line="578" w:lineRule="exact"/>
        <w:ind w:firstLine="640" w:firstLineChars="200"/>
        <w:rPr>
          <w:rFonts w:eastAsia="方正仿宋简体"/>
          <w:sz w:val="32"/>
          <w:szCs w:val="32"/>
        </w:rPr>
      </w:pPr>
      <w:r>
        <w:rPr>
          <w:rFonts w:eastAsia="方正仿宋简体"/>
          <w:sz w:val="32"/>
          <w:szCs w:val="32"/>
        </w:rPr>
        <w:t>年初结转结余220.94万元，主要是上年度未完成的项目专项经费结余，比上年增加5.28万元，增幅2.39%，2025年12月17日财政局国库科下发13.2万元，该笔13.2万元。</w:t>
      </w:r>
    </w:p>
    <w:p w14:paraId="0F523AF4">
      <w:pPr>
        <w:spacing w:line="578" w:lineRule="exact"/>
        <w:ind w:firstLine="640" w:firstLineChars="200"/>
        <w:rPr>
          <w:rFonts w:eastAsia="楷体"/>
          <w:sz w:val="32"/>
          <w:szCs w:val="32"/>
        </w:rPr>
      </w:pPr>
      <w:r>
        <w:rPr>
          <w:rFonts w:eastAsia="楷体"/>
          <w:sz w:val="32"/>
          <w:szCs w:val="32"/>
        </w:rPr>
        <w:t>（二）支出总计主要构成</w:t>
      </w:r>
    </w:p>
    <w:p w14:paraId="58A85374">
      <w:pPr>
        <w:spacing w:line="578" w:lineRule="exact"/>
        <w:ind w:firstLine="640" w:firstLineChars="200"/>
        <w:rPr>
          <w:rFonts w:eastAsia="方正仿宋简体"/>
          <w:sz w:val="32"/>
          <w:szCs w:val="32"/>
        </w:rPr>
      </w:pPr>
      <w:r>
        <w:rPr>
          <w:rFonts w:eastAsia="方正仿宋简体"/>
          <w:sz w:val="32"/>
          <w:szCs w:val="32"/>
        </w:rPr>
        <w:t>本年支出4,536.69万元。</w:t>
      </w:r>
    </w:p>
    <w:p w14:paraId="20B4A760">
      <w:pPr>
        <w:spacing w:line="578" w:lineRule="exact"/>
        <w:ind w:firstLine="640" w:firstLineChars="200"/>
        <w:rPr>
          <w:rFonts w:eastAsia="方正仿宋简体"/>
          <w:sz w:val="32"/>
          <w:szCs w:val="32"/>
        </w:rPr>
      </w:pPr>
      <w:r>
        <w:rPr>
          <w:rFonts w:eastAsia="方正仿宋简体"/>
          <w:sz w:val="32"/>
          <w:szCs w:val="32"/>
        </w:rPr>
        <w:t>结余分配0.00万元，较2024年度决算数比上年数减少219.86万元，降幅4.62%，因有三人正式工调出、一人公益性去死、减少病媒微生物防治项。</w:t>
      </w:r>
    </w:p>
    <w:p w14:paraId="5A1C934F">
      <w:pPr>
        <w:spacing w:line="578" w:lineRule="exact"/>
        <w:ind w:firstLine="640" w:firstLineChars="200"/>
        <w:rPr>
          <w:rFonts w:eastAsia="方正仿宋简体"/>
          <w:sz w:val="32"/>
          <w:szCs w:val="32"/>
        </w:rPr>
      </w:pPr>
      <w:r>
        <w:rPr>
          <w:rFonts w:eastAsia="方正仿宋简体"/>
          <w:sz w:val="32"/>
          <w:szCs w:val="32"/>
        </w:rPr>
        <w:t>年末结转结余226.21万元，主要是比上年增加5.28万元，增幅2.39%，于2025年12月17日财政局国库科下发13.2万元，该笔13.2万。</w:t>
      </w:r>
    </w:p>
    <w:p w14:paraId="5BA69BE4">
      <w:pPr>
        <w:spacing w:line="578" w:lineRule="exact"/>
        <w:ind w:left="319" w:leftChars="152" w:firstLine="320" w:firstLineChars="100"/>
        <w:rPr>
          <w:rFonts w:eastAsia="仿宋_GB2312"/>
          <w:sz w:val="32"/>
          <w:szCs w:val="32"/>
        </w:rPr>
      </w:pPr>
      <w:r>
        <w:rPr>
          <w:rFonts w:eastAsia="黑体"/>
          <w:bCs/>
          <w:sz w:val="32"/>
          <w:szCs w:val="32"/>
        </w:rPr>
        <w:t>二、收入决算情况说明</w:t>
      </w:r>
      <w:r>
        <w:rPr>
          <w:rFonts w:eastAsia="方正仿宋简体"/>
          <w:sz w:val="32"/>
          <w:szCs w:val="32"/>
        </w:rPr>
        <w:t>本年收入4,541.97万元，其中：财政拨款收入4,528.77万元，占99.71%；上级补助收入0.00万元，占0%；事业收入0.00万元，占0%；经营收入0.00万元，占0%；附属单位上缴收入0.00万元，占0%；其他收入13.20万元，占0.29%。</w:t>
      </w:r>
    </w:p>
    <w:p w14:paraId="02C676B0">
      <w:pPr>
        <w:spacing w:line="578" w:lineRule="exact"/>
        <w:ind w:firstLine="640" w:firstLineChars="200"/>
        <w:rPr>
          <w:rFonts w:eastAsia="黑体"/>
          <w:bCs/>
          <w:sz w:val="32"/>
          <w:szCs w:val="32"/>
        </w:rPr>
      </w:pPr>
      <w:r>
        <w:rPr>
          <w:rFonts w:eastAsia="黑体"/>
          <w:bCs/>
          <w:sz w:val="32"/>
          <w:szCs w:val="32"/>
        </w:rPr>
        <w:t>三、支出决算情况说明</w:t>
      </w:r>
    </w:p>
    <w:p w14:paraId="5F96B117">
      <w:pPr>
        <w:spacing w:line="578" w:lineRule="exact"/>
        <w:ind w:firstLine="640" w:firstLineChars="200"/>
        <w:rPr>
          <w:rFonts w:eastAsia="黑体"/>
          <w:bCs/>
          <w:sz w:val="32"/>
          <w:szCs w:val="32"/>
        </w:rPr>
      </w:pPr>
      <w:r>
        <w:rPr>
          <w:rFonts w:eastAsia="方正仿宋简体"/>
          <w:sz w:val="32"/>
          <w:szCs w:val="32"/>
        </w:rPr>
        <w:t>本年支出4,536.69万元，其中：基本支出3,156.52万元，占69.58%；项目支出1,380.18万元，占30.42%；上缴上级支出0万元，占0%；经营支出0万元，占0%；对附属单位补助支出0万元，占0%。</w:t>
      </w:r>
    </w:p>
    <w:p w14:paraId="02A2B336">
      <w:pPr>
        <w:spacing w:line="578" w:lineRule="exact"/>
        <w:ind w:firstLine="640" w:firstLineChars="200"/>
        <w:rPr>
          <w:rFonts w:eastAsia="黑体"/>
          <w:bCs/>
          <w:sz w:val="32"/>
          <w:szCs w:val="32"/>
        </w:rPr>
      </w:pPr>
      <w:r>
        <w:rPr>
          <w:rFonts w:eastAsia="黑体"/>
          <w:bCs/>
          <w:sz w:val="32"/>
          <w:szCs w:val="32"/>
        </w:rPr>
        <w:t>四、财政拨款收入支出决算总体情况说明</w:t>
      </w:r>
    </w:p>
    <w:p w14:paraId="200CD422">
      <w:pPr>
        <w:spacing w:line="578" w:lineRule="exact"/>
        <w:ind w:firstLine="640" w:firstLineChars="200"/>
        <w:rPr>
          <w:rFonts w:eastAsia="方正仿宋简体"/>
          <w:sz w:val="32"/>
          <w:szCs w:val="32"/>
        </w:rPr>
      </w:pPr>
      <w:r>
        <w:rPr>
          <w:rFonts w:eastAsia="方正仿宋简体"/>
          <w:sz w:val="32"/>
          <w:szCs w:val="32"/>
        </w:rPr>
        <w:t>2025年度财政拨款收入4,528.77万元，支出4,528.77万元。较2024年度决算数比上年数减少103.83万元，降幅2.24%，因有三人正式工调出、一人公益性去世、减少病媒微生物防治项目经费29.1万元。</w:t>
      </w:r>
    </w:p>
    <w:p w14:paraId="00E940C4">
      <w:pPr>
        <w:spacing w:line="578" w:lineRule="exact"/>
        <w:ind w:firstLine="640" w:firstLineChars="200"/>
        <w:rPr>
          <w:rFonts w:eastAsia="方正仿宋简体"/>
          <w:sz w:val="32"/>
          <w:szCs w:val="32"/>
        </w:rPr>
      </w:pPr>
      <w:r>
        <w:rPr>
          <w:rFonts w:eastAsia="方正仿宋简体"/>
          <w:sz w:val="32"/>
          <w:szCs w:val="32"/>
        </w:rPr>
        <w:t>财政拨款年初结转结余0.00万元。</w:t>
      </w:r>
    </w:p>
    <w:p w14:paraId="360C5F63">
      <w:pPr>
        <w:spacing w:line="578" w:lineRule="exact"/>
        <w:ind w:firstLine="640" w:firstLineChars="200"/>
        <w:rPr>
          <w:rFonts w:eastAsia="方正仿宋简体"/>
          <w:sz w:val="32"/>
          <w:szCs w:val="32"/>
        </w:rPr>
      </w:pPr>
      <w:r>
        <w:rPr>
          <w:rFonts w:eastAsia="方正仿宋简体"/>
          <w:sz w:val="32"/>
          <w:szCs w:val="32"/>
        </w:rPr>
        <w:t xml:space="preserve">财政拨款年末结转结余0.00万元。 </w:t>
      </w:r>
    </w:p>
    <w:p w14:paraId="468B820F">
      <w:pPr>
        <w:spacing w:line="578" w:lineRule="exact"/>
        <w:ind w:firstLine="640" w:firstLineChars="200"/>
        <w:rPr>
          <w:rFonts w:eastAsia="黑体"/>
          <w:bCs/>
          <w:sz w:val="32"/>
          <w:szCs w:val="32"/>
        </w:rPr>
      </w:pPr>
      <w:r>
        <w:rPr>
          <w:rFonts w:eastAsia="黑体"/>
          <w:bCs/>
          <w:sz w:val="32"/>
          <w:szCs w:val="32"/>
        </w:rPr>
        <w:t>五、一般公共预算财政拨款支出决算情况说明</w:t>
      </w:r>
      <w:bookmarkStart w:id="77" w:name="_Toc19665_WPSOffice_Level2"/>
      <w:bookmarkStart w:id="78" w:name="_Toc23005_WPSOffice_Level2"/>
      <w:bookmarkStart w:id="79" w:name="_Toc17398_WPSOffice_Level2"/>
      <w:bookmarkStart w:id="80" w:name="_Toc21737_WPSOffice_Level2"/>
      <w:bookmarkStart w:id="81" w:name="_Toc9989_WPSOffice_Level2"/>
      <w:bookmarkStart w:id="82" w:name="_Toc13694_WPSOffice_Level2"/>
    </w:p>
    <w:p w14:paraId="4EED4106">
      <w:pPr>
        <w:spacing w:line="578" w:lineRule="exact"/>
        <w:ind w:firstLine="640" w:firstLineChars="200"/>
        <w:rPr>
          <w:rFonts w:eastAsia="黑体"/>
          <w:bCs/>
          <w:sz w:val="32"/>
          <w:szCs w:val="32"/>
        </w:rPr>
      </w:pPr>
      <w:r>
        <w:rPr>
          <w:rFonts w:eastAsia="楷体"/>
          <w:sz w:val="32"/>
          <w:szCs w:val="32"/>
        </w:rPr>
        <w:t>（一）一般公共预算财政拨款支出决算总体情况</w:t>
      </w:r>
      <w:bookmarkEnd w:id="77"/>
      <w:bookmarkEnd w:id="78"/>
      <w:bookmarkEnd w:id="79"/>
      <w:bookmarkEnd w:id="80"/>
      <w:bookmarkEnd w:id="81"/>
      <w:bookmarkEnd w:id="82"/>
    </w:p>
    <w:p w14:paraId="73CFB067">
      <w:pPr>
        <w:spacing w:line="578" w:lineRule="exact"/>
        <w:ind w:firstLine="640" w:firstLineChars="200"/>
        <w:rPr>
          <w:rFonts w:eastAsia="方正仿宋简体"/>
          <w:sz w:val="32"/>
          <w:szCs w:val="32"/>
        </w:rPr>
      </w:pPr>
      <w:r>
        <w:rPr>
          <w:rFonts w:eastAsia="方正仿宋简体"/>
          <w:sz w:val="32"/>
          <w:szCs w:val="32"/>
        </w:rPr>
        <w:t>2025年度一般公共预算财政拨款支出4,528.77万元，占本年支出合计的100%。与2024年度相比，一般公共预算财政拨款支出减少103.84万元，下降）2.24%，主要原因是是专项业务支出同步减少,资金支出相应下降。</w:t>
      </w:r>
    </w:p>
    <w:p w14:paraId="33E5E0E7">
      <w:pPr>
        <w:spacing w:line="578" w:lineRule="exact"/>
        <w:ind w:firstLine="640" w:firstLineChars="200"/>
        <w:rPr>
          <w:rFonts w:eastAsia="楷体"/>
          <w:sz w:val="32"/>
          <w:szCs w:val="32"/>
        </w:rPr>
      </w:pPr>
      <w:bookmarkStart w:id="83" w:name="_Toc23864_WPSOffice_Level2"/>
      <w:bookmarkStart w:id="84" w:name="_Toc27767_WPSOffice_Level2"/>
      <w:bookmarkStart w:id="85" w:name="_Toc2711_WPSOffice_Level2"/>
      <w:bookmarkStart w:id="86" w:name="_Toc18793_WPSOffice_Level2"/>
      <w:bookmarkStart w:id="87" w:name="_Toc19535_WPSOffice_Level2"/>
      <w:bookmarkStart w:id="88" w:name="_Toc19075_WPSOffice_Level2"/>
      <w:r>
        <w:rPr>
          <w:rFonts w:eastAsia="楷体"/>
          <w:sz w:val="32"/>
          <w:szCs w:val="32"/>
        </w:rPr>
        <w:t>（二）一般公共预算财政拨款支出决算结构情况</w:t>
      </w:r>
      <w:bookmarkEnd w:id="83"/>
      <w:bookmarkEnd w:id="84"/>
      <w:bookmarkEnd w:id="85"/>
      <w:bookmarkEnd w:id="86"/>
      <w:bookmarkEnd w:id="87"/>
      <w:bookmarkEnd w:id="88"/>
    </w:p>
    <w:p w14:paraId="49AC990F">
      <w:pPr>
        <w:spacing w:line="578" w:lineRule="exact"/>
        <w:ind w:firstLine="640" w:firstLineChars="200"/>
        <w:rPr>
          <w:rFonts w:eastAsia="方正仿宋简体"/>
          <w:sz w:val="32"/>
          <w:szCs w:val="32"/>
        </w:rPr>
      </w:pPr>
      <w:r>
        <w:rPr>
          <w:rFonts w:eastAsia="方正仿宋简体"/>
          <w:sz w:val="32"/>
          <w:szCs w:val="32"/>
        </w:rPr>
        <w:t>2025年度一般公共预算财政拨款支出4,528.77万元，主要用于以下方面：一般公共服务（类）支出8.43万元，占0.19%；社会保障和就业（类）支出372.74万元，占8.23；卫生健康支出3965.30万元，占87.56%；住房保障（类）支出190.22万元，占4.20%。</w:t>
      </w:r>
    </w:p>
    <w:p w14:paraId="36B443F2">
      <w:pPr>
        <w:spacing w:line="578" w:lineRule="exact"/>
        <w:ind w:firstLine="640" w:firstLineChars="200"/>
        <w:rPr>
          <w:rFonts w:eastAsia="楷体"/>
          <w:sz w:val="32"/>
          <w:szCs w:val="32"/>
        </w:rPr>
      </w:pPr>
      <w:bookmarkStart w:id="89" w:name="_Toc25136_WPSOffice_Level2"/>
      <w:bookmarkStart w:id="90" w:name="_Toc22318_WPSOffice_Level2"/>
      <w:bookmarkStart w:id="91" w:name="_Toc21701_WPSOffice_Level2"/>
      <w:bookmarkStart w:id="92" w:name="_Toc15415_WPSOffice_Level2"/>
      <w:bookmarkStart w:id="93" w:name="_Toc29364_WPSOffice_Level2"/>
      <w:bookmarkStart w:id="94" w:name="_Toc9502_WPSOffice_Level2"/>
      <w:r>
        <w:rPr>
          <w:rFonts w:eastAsia="楷体"/>
          <w:sz w:val="32"/>
          <w:szCs w:val="32"/>
        </w:rPr>
        <w:t>（三）一般公共预算财政拨款支出决算具体情况</w:t>
      </w:r>
      <w:bookmarkEnd w:id="89"/>
      <w:bookmarkEnd w:id="90"/>
      <w:bookmarkEnd w:id="91"/>
      <w:bookmarkEnd w:id="92"/>
      <w:bookmarkEnd w:id="93"/>
      <w:bookmarkEnd w:id="94"/>
    </w:p>
    <w:p w14:paraId="48C55559">
      <w:pPr>
        <w:spacing w:line="578" w:lineRule="exact"/>
        <w:ind w:firstLine="640" w:firstLineChars="200"/>
        <w:rPr>
          <w:rFonts w:eastAsia="方正仿宋简体"/>
          <w:sz w:val="32"/>
          <w:szCs w:val="32"/>
        </w:rPr>
      </w:pPr>
      <w:r>
        <w:rPr>
          <w:rFonts w:eastAsia="方正仿宋简体"/>
          <w:sz w:val="32"/>
          <w:szCs w:val="32"/>
        </w:rPr>
        <w:t>2025年度一般公共预算财政拨款支出年初预算为4528.77万元，支出决算为4,528.77万元，完成年初预算的100%。其中</w:t>
      </w:r>
    </w:p>
    <w:p w14:paraId="787580B4">
      <w:pPr>
        <w:spacing w:line="578" w:lineRule="exact"/>
        <w:ind w:firstLine="640" w:firstLineChars="200"/>
        <w:rPr>
          <w:rFonts w:eastAsia="方正仿宋简体"/>
          <w:sz w:val="32"/>
          <w:szCs w:val="32"/>
        </w:rPr>
      </w:pPr>
      <w:r>
        <w:rPr>
          <w:rFonts w:eastAsia="方正仿宋简体"/>
          <w:sz w:val="32"/>
          <w:szCs w:val="32"/>
        </w:rPr>
        <w:t>一般公共服务（类）人大事务（款）行政运行（项）。</w:t>
      </w:r>
    </w:p>
    <w:p w14:paraId="75B41358">
      <w:pPr>
        <w:spacing w:line="578" w:lineRule="exact"/>
        <w:ind w:firstLine="640" w:firstLineChars="200"/>
        <w:rPr>
          <w:rFonts w:eastAsia="方正仿宋简体"/>
          <w:sz w:val="32"/>
          <w:szCs w:val="32"/>
        </w:rPr>
      </w:pPr>
      <w:r>
        <w:rPr>
          <w:rFonts w:eastAsia="方正仿宋简体"/>
          <w:sz w:val="32"/>
          <w:szCs w:val="32"/>
        </w:rPr>
        <w:t xml:space="preserve">年初预算为8.43万元，支出决算为8.43万元，完成年初预算的100%。   </w:t>
      </w:r>
    </w:p>
    <w:p w14:paraId="0AE0F036">
      <w:pPr>
        <w:spacing w:line="578" w:lineRule="exact"/>
        <w:ind w:firstLine="640" w:firstLineChars="200"/>
        <w:rPr>
          <w:rFonts w:eastAsia="黑体"/>
          <w:sz w:val="32"/>
          <w:szCs w:val="32"/>
        </w:rPr>
      </w:pPr>
      <w:r>
        <w:rPr>
          <w:rFonts w:eastAsia="黑体"/>
          <w:bCs/>
          <w:sz w:val="32"/>
          <w:szCs w:val="32"/>
        </w:rPr>
        <w:t>六、一般公共预算财政拨款基本支出决算情况说明</w:t>
      </w:r>
    </w:p>
    <w:p w14:paraId="6CA96A1F">
      <w:pPr>
        <w:tabs>
          <w:tab w:val="center" w:pos="4473"/>
        </w:tabs>
        <w:spacing w:line="578" w:lineRule="exact"/>
        <w:ind w:firstLine="640" w:firstLineChars="200"/>
        <w:rPr>
          <w:rFonts w:eastAsia="方正仿宋简体"/>
          <w:sz w:val="32"/>
          <w:szCs w:val="32"/>
        </w:rPr>
      </w:pPr>
      <w:r>
        <w:rPr>
          <w:rFonts w:eastAsia="方正仿宋简体"/>
          <w:sz w:val="32"/>
          <w:szCs w:val="32"/>
        </w:rPr>
        <w:t>2025年度财政拨款基本支出3,156.52万元，其中：人员经费2,899.61万元，主要包括：工资福利支出中的基本工资、津贴补贴、奖金、伙食补助费、绩效工资、机关事业单位基本养老保险缴费、职业年金缴费、职工基本医疗保险缴费、公务员医疗补助缴费、其他社会保障缴费、住房公积金、医疗费、其他工资福利支出；对个人和家庭的补助中的离休费、退休费、退职（役）费、抚恤金、生活补助、救济费、医疗费补助、助学金、奖励金、个人农业生产补贴、代缴社会保险费、其他对个人和家庭的补助。公用经费256.91万元，主要包括：商品和服务支出中的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债务利息及费用支出中的国内债务付息及国外债务付息；资本性支出中的房屋建筑物购建、办公设备购置、专用设备购置、基础设施建设、大型修缮、信息网络及软件购置更新、物资储备、土地补偿、安置补助、地上附着物和青苗补偿、拆迁补偿、公务用车购置、其他交通工具购置、文物和陈列品购置、无形资产购置、其他资本性支出等；其他支出中的赠予、国家赔偿费用支出、对民间非营利组织和群众性自治组织补贴和其他支出。</w:t>
      </w:r>
    </w:p>
    <w:p w14:paraId="6E669CB9">
      <w:pPr>
        <w:tabs>
          <w:tab w:val="center" w:pos="4473"/>
        </w:tabs>
        <w:spacing w:line="578" w:lineRule="exact"/>
        <w:ind w:firstLine="640" w:firstLineChars="200"/>
        <w:rPr>
          <w:rFonts w:eastAsia="黑体"/>
          <w:bCs/>
          <w:sz w:val="32"/>
          <w:szCs w:val="32"/>
        </w:rPr>
      </w:pPr>
      <w:r>
        <w:rPr>
          <w:rFonts w:eastAsia="黑体"/>
          <w:bCs/>
          <w:sz w:val="32"/>
          <w:szCs w:val="32"/>
        </w:rPr>
        <w:t>七、政府性基金预算财政拨款支出决算情况说明</w:t>
      </w:r>
    </w:p>
    <w:p w14:paraId="28736298">
      <w:pPr>
        <w:spacing w:line="578" w:lineRule="exact"/>
        <w:ind w:firstLine="640" w:firstLineChars="200"/>
        <w:rPr>
          <w:rFonts w:eastAsia="楷体"/>
          <w:sz w:val="32"/>
          <w:szCs w:val="32"/>
        </w:rPr>
      </w:pPr>
      <w:r>
        <w:rPr>
          <w:rFonts w:eastAsia="楷体"/>
          <w:sz w:val="32"/>
          <w:szCs w:val="32"/>
        </w:rPr>
        <w:t>（一）政府性基金预算财政拨款支出决算总体情况</w:t>
      </w:r>
    </w:p>
    <w:p w14:paraId="4E80CA80">
      <w:pPr>
        <w:spacing w:line="578" w:lineRule="exact"/>
        <w:ind w:firstLine="640" w:firstLineChars="200"/>
        <w:rPr>
          <w:rFonts w:eastAsia="方正仿宋简体"/>
          <w:sz w:val="32"/>
          <w:szCs w:val="32"/>
        </w:rPr>
      </w:pPr>
      <w:r>
        <w:rPr>
          <w:rFonts w:eastAsia="方正仿宋简体"/>
          <w:sz w:val="32"/>
          <w:szCs w:val="32"/>
        </w:rPr>
        <w:t>2025年度政府性基金预算财政拨款支出0.00万元，</w:t>
      </w:r>
    </w:p>
    <w:p w14:paraId="5DF473B7">
      <w:pPr>
        <w:spacing w:line="578" w:lineRule="exact"/>
        <w:ind w:firstLine="640" w:firstLineChars="200"/>
        <w:rPr>
          <w:rFonts w:eastAsia="楷体"/>
          <w:sz w:val="32"/>
          <w:szCs w:val="32"/>
        </w:rPr>
      </w:pPr>
      <w:r>
        <w:rPr>
          <w:rFonts w:eastAsia="楷体"/>
          <w:sz w:val="32"/>
          <w:szCs w:val="32"/>
        </w:rPr>
        <w:t>（二）政府性基金预算财政拨款支出决算结构情况</w:t>
      </w:r>
    </w:p>
    <w:p w14:paraId="2033E9D7">
      <w:pPr>
        <w:spacing w:line="578" w:lineRule="exact"/>
        <w:ind w:firstLine="640" w:firstLineChars="200"/>
        <w:rPr>
          <w:rFonts w:eastAsia="方正仿宋简体"/>
          <w:sz w:val="32"/>
          <w:szCs w:val="32"/>
        </w:rPr>
      </w:pPr>
      <w:r>
        <w:rPr>
          <w:rFonts w:eastAsia="方正仿宋简体"/>
          <w:sz w:val="32"/>
          <w:szCs w:val="32"/>
        </w:rPr>
        <w:t>2025年度政府性基金预算财政拨款支出0.00万元，</w:t>
      </w:r>
    </w:p>
    <w:p w14:paraId="0C83E33D">
      <w:pPr>
        <w:spacing w:line="578" w:lineRule="exact"/>
        <w:ind w:firstLine="640" w:firstLineChars="200"/>
        <w:rPr>
          <w:rFonts w:eastAsia="楷体"/>
          <w:sz w:val="32"/>
          <w:szCs w:val="32"/>
        </w:rPr>
      </w:pPr>
      <w:r>
        <w:rPr>
          <w:rFonts w:eastAsia="楷体"/>
          <w:sz w:val="32"/>
          <w:szCs w:val="32"/>
        </w:rPr>
        <w:t>（三）政府性基金预算财政拨款支出决算具体情况</w:t>
      </w:r>
    </w:p>
    <w:p w14:paraId="2696C916">
      <w:pPr>
        <w:spacing w:line="578" w:lineRule="exact"/>
        <w:ind w:firstLine="640" w:firstLineChars="200"/>
        <w:rPr>
          <w:rFonts w:eastAsia="方正仿宋简体"/>
          <w:sz w:val="32"/>
          <w:szCs w:val="32"/>
        </w:rPr>
      </w:pPr>
      <w:r>
        <w:rPr>
          <w:rFonts w:eastAsia="方正仿宋简体"/>
          <w:sz w:val="32"/>
          <w:szCs w:val="32"/>
        </w:rPr>
        <w:t xml:space="preserve">2025年度政府性基金预算财政拨款支出年初预算为0.00万元。 </w:t>
      </w:r>
    </w:p>
    <w:p w14:paraId="3BCAF1E6">
      <w:pPr>
        <w:tabs>
          <w:tab w:val="center" w:pos="4473"/>
        </w:tabs>
        <w:spacing w:line="578" w:lineRule="exact"/>
        <w:ind w:firstLine="640" w:firstLineChars="200"/>
        <w:rPr>
          <w:rFonts w:eastAsia="黑体"/>
          <w:bCs/>
          <w:sz w:val="32"/>
          <w:szCs w:val="32"/>
        </w:rPr>
      </w:pPr>
      <w:r>
        <w:rPr>
          <w:rFonts w:eastAsia="黑体"/>
          <w:bCs/>
          <w:sz w:val="32"/>
          <w:szCs w:val="32"/>
        </w:rPr>
        <w:t>八、国有资本经营预算财政拨款支出决算情况说明</w:t>
      </w:r>
    </w:p>
    <w:p w14:paraId="5EDFF45C">
      <w:pPr>
        <w:spacing w:line="578" w:lineRule="exact"/>
        <w:ind w:firstLine="640" w:firstLineChars="200"/>
        <w:rPr>
          <w:rFonts w:eastAsia="楷体"/>
          <w:sz w:val="32"/>
          <w:szCs w:val="32"/>
        </w:rPr>
      </w:pPr>
      <w:r>
        <w:rPr>
          <w:rFonts w:eastAsia="楷体"/>
          <w:sz w:val="32"/>
          <w:szCs w:val="32"/>
        </w:rPr>
        <w:t>（一）国有资本经营预算财政拨款支出决算总体情况</w:t>
      </w:r>
    </w:p>
    <w:p w14:paraId="027AC73D">
      <w:pPr>
        <w:spacing w:line="578" w:lineRule="exact"/>
        <w:ind w:firstLine="640" w:firstLineChars="200"/>
        <w:rPr>
          <w:rFonts w:eastAsia="仿宋_GB2312"/>
          <w:sz w:val="32"/>
          <w:szCs w:val="32"/>
        </w:rPr>
      </w:pPr>
      <w:r>
        <w:rPr>
          <w:rFonts w:eastAsia="仿宋_GB2312"/>
          <w:sz w:val="32"/>
          <w:szCs w:val="32"/>
        </w:rPr>
        <w:t>2025年度国有资本经营预算财政拨款支出0.00万元，</w:t>
      </w:r>
    </w:p>
    <w:p w14:paraId="19A4418A">
      <w:pPr>
        <w:spacing w:line="578" w:lineRule="exact"/>
        <w:ind w:firstLine="640" w:firstLineChars="200"/>
        <w:rPr>
          <w:rFonts w:eastAsia="楷体"/>
          <w:sz w:val="32"/>
          <w:szCs w:val="32"/>
        </w:rPr>
      </w:pPr>
      <w:r>
        <w:rPr>
          <w:rFonts w:eastAsia="楷体"/>
          <w:sz w:val="32"/>
          <w:szCs w:val="32"/>
        </w:rPr>
        <w:t>（二）国有资本经营预算财政拨款支出决算结构情况</w:t>
      </w:r>
    </w:p>
    <w:p w14:paraId="58AAC9FE">
      <w:pPr>
        <w:spacing w:line="578" w:lineRule="exact"/>
        <w:ind w:firstLine="640" w:firstLineChars="200"/>
        <w:rPr>
          <w:rFonts w:eastAsia="仿宋_GB2312"/>
          <w:sz w:val="32"/>
          <w:szCs w:val="32"/>
        </w:rPr>
      </w:pPr>
      <w:r>
        <w:rPr>
          <w:rFonts w:eastAsia="仿宋_GB2312"/>
          <w:sz w:val="32"/>
          <w:szCs w:val="32"/>
        </w:rPr>
        <w:t>2025年度国有资本经营预算财政拨款支出0.00万元，</w:t>
      </w:r>
    </w:p>
    <w:p w14:paraId="54EC03D6">
      <w:pPr>
        <w:spacing w:line="578" w:lineRule="exact"/>
        <w:ind w:firstLine="640" w:firstLineChars="200"/>
        <w:rPr>
          <w:rFonts w:eastAsia="楷体"/>
          <w:sz w:val="32"/>
          <w:szCs w:val="32"/>
        </w:rPr>
      </w:pPr>
      <w:r>
        <w:rPr>
          <w:rFonts w:eastAsia="楷体"/>
          <w:sz w:val="32"/>
          <w:szCs w:val="32"/>
        </w:rPr>
        <w:t>（三）国有资本经营预算财政拨款支出决算具体情况</w:t>
      </w:r>
    </w:p>
    <w:p w14:paraId="5B3D7D9A">
      <w:pPr>
        <w:spacing w:line="578" w:lineRule="exact"/>
        <w:ind w:firstLine="640" w:firstLineChars="200"/>
        <w:rPr>
          <w:rFonts w:eastAsia="仿宋_GB2312"/>
          <w:b/>
          <w:sz w:val="32"/>
          <w:szCs w:val="32"/>
        </w:rPr>
      </w:pPr>
      <w:r>
        <w:rPr>
          <w:rFonts w:eastAsia="仿宋_GB2312"/>
          <w:sz w:val="32"/>
          <w:szCs w:val="32"/>
        </w:rPr>
        <w:t>2025年度国有资本经营预算财政拨款支出年初预算为0.00万元。</w:t>
      </w:r>
    </w:p>
    <w:p w14:paraId="1C6EEA8D">
      <w:pPr>
        <w:spacing w:line="578" w:lineRule="exact"/>
        <w:ind w:firstLine="640" w:firstLineChars="200"/>
        <w:rPr>
          <w:rFonts w:eastAsia="楷体_GB2312"/>
          <w:sz w:val="32"/>
          <w:szCs w:val="32"/>
        </w:rPr>
      </w:pPr>
      <w:r>
        <w:rPr>
          <w:rFonts w:eastAsia="黑体"/>
          <w:bCs/>
          <w:sz w:val="32"/>
          <w:szCs w:val="32"/>
        </w:rPr>
        <w:t>九、财政拨款“三公”经费支出决算情况说明</w:t>
      </w:r>
    </w:p>
    <w:p w14:paraId="0F8FDC85">
      <w:pPr>
        <w:spacing w:line="578" w:lineRule="exact"/>
        <w:ind w:firstLine="640" w:firstLineChars="200"/>
        <w:rPr>
          <w:rFonts w:eastAsia="楷体"/>
          <w:bCs/>
          <w:sz w:val="32"/>
          <w:szCs w:val="32"/>
        </w:rPr>
      </w:pPr>
      <w:r>
        <w:rPr>
          <w:rFonts w:eastAsia="楷体"/>
          <w:bCs/>
          <w:sz w:val="32"/>
          <w:szCs w:val="32"/>
        </w:rPr>
        <w:t>（一）财政拨款“三公”经费支出决算总体情况说明</w:t>
      </w:r>
    </w:p>
    <w:p w14:paraId="2E35061D">
      <w:pPr>
        <w:spacing w:line="578" w:lineRule="exact"/>
        <w:ind w:firstLine="640" w:firstLineChars="200"/>
        <w:rPr>
          <w:rFonts w:eastAsia="方正仿宋简体"/>
          <w:sz w:val="32"/>
          <w:szCs w:val="32"/>
        </w:rPr>
      </w:pPr>
      <w:r>
        <w:rPr>
          <w:rFonts w:eastAsia="方正仿宋简体"/>
          <w:sz w:val="32"/>
          <w:szCs w:val="32"/>
        </w:rPr>
        <w:t>2025年度财政拨款“三公”经费支出预算为27.87万元，支出决算为27.87万元，完成预算的100%，比上年度减少0.6565万元，降幅2.3%，因严格落实基层减负要求，减少下乡督导与技术指导比上年度减少0.6565。</w:t>
      </w:r>
    </w:p>
    <w:p w14:paraId="7085AA79">
      <w:pPr>
        <w:spacing w:line="578" w:lineRule="exact"/>
        <w:ind w:firstLine="640" w:firstLineChars="200"/>
        <w:rPr>
          <w:rFonts w:eastAsia="方正仿宋简体"/>
          <w:sz w:val="32"/>
          <w:szCs w:val="32"/>
        </w:rPr>
      </w:pPr>
      <w:r>
        <w:rPr>
          <w:rFonts w:eastAsia="楷体"/>
          <w:sz w:val="32"/>
          <w:szCs w:val="32"/>
        </w:rPr>
        <w:t>（二）财政拨款“三公”经费支出决算具体情况说明</w:t>
      </w:r>
    </w:p>
    <w:p w14:paraId="21AB08A9">
      <w:pPr>
        <w:spacing w:line="578" w:lineRule="exact"/>
        <w:ind w:firstLine="640" w:firstLineChars="200"/>
        <w:rPr>
          <w:rFonts w:eastAsia="方正仿宋简体"/>
          <w:sz w:val="32"/>
          <w:szCs w:val="32"/>
        </w:rPr>
      </w:pPr>
      <w:r>
        <w:rPr>
          <w:rFonts w:eastAsia="方正仿宋简体"/>
          <w:sz w:val="32"/>
          <w:szCs w:val="32"/>
        </w:rPr>
        <w:t xml:space="preserve">2025年度财政拨款“三公”经费支出决算中，因公出国（境）费支出决算0.00万元，公务用车购置及运行维护费支出决算27.87万元，占100%；公务接待费支出决算0.00万元， </w:t>
      </w:r>
    </w:p>
    <w:p w14:paraId="0E4E653C">
      <w:pPr>
        <w:spacing w:line="578" w:lineRule="exact"/>
        <w:ind w:firstLine="640" w:firstLineChars="200"/>
        <w:rPr>
          <w:rFonts w:eastAsia="方正仿宋简体"/>
          <w:sz w:val="32"/>
          <w:szCs w:val="32"/>
        </w:rPr>
      </w:pPr>
      <w:r>
        <w:rPr>
          <w:rFonts w:eastAsia="方正仿宋简体"/>
          <w:sz w:val="32"/>
          <w:szCs w:val="32"/>
        </w:rPr>
        <w:t>1.因公出国（境）费支出0.00万元。全年安排因公出国（境）团组0批次，因公出国（境）0人次。</w:t>
      </w:r>
    </w:p>
    <w:p w14:paraId="6C530429">
      <w:pPr>
        <w:spacing w:line="578" w:lineRule="exact"/>
        <w:ind w:firstLine="640" w:firstLineChars="200"/>
        <w:rPr>
          <w:rFonts w:eastAsia="方正仿宋简体"/>
          <w:sz w:val="32"/>
          <w:szCs w:val="32"/>
        </w:rPr>
      </w:pPr>
      <w:r>
        <w:rPr>
          <w:rFonts w:eastAsia="方正仿宋简体"/>
          <w:sz w:val="32"/>
          <w:szCs w:val="32"/>
        </w:rPr>
        <w:t>2.公务用车购置及运行维护费支出27.87万元。其</w:t>
      </w:r>
      <w:r>
        <w:rPr>
          <w:rFonts w:hint="eastAsia" w:eastAsia="方正仿宋简体"/>
          <w:sz w:val="32"/>
          <w:szCs w:val="32"/>
          <w:lang w:val="en-US" w:eastAsia="zh-CN"/>
        </w:rPr>
        <w:t>中</w:t>
      </w:r>
      <w:r>
        <w:rPr>
          <w:rFonts w:eastAsia="方正仿宋简体"/>
          <w:sz w:val="32"/>
          <w:szCs w:val="32"/>
        </w:rPr>
        <w:t>公务用车购置支出27.87万元，全年购置公务用车1辆，主要用于疫情处置工作，年末公务用车保有量6辆。</w:t>
      </w:r>
    </w:p>
    <w:p w14:paraId="54FC232D">
      <w:pPr>
        <w:spacing w:line="578" w:lineRule="exact"/>
        <w:ind w:firstLine="640" w:firstLineChars="200"/>
        <w:rPr>
          <w:rFonts w:eastAsia="方正仿宋简体"/>
          <w:sz w:val="32"/>
          <w:szCs w:val="32"/>
        </w:rPr>
      </w:pPr>
      <w:r>
        <w:rPr>
          <w:rFonts w:eastAsia="方正仿宋简体"/>
          <w:sz w:val="32"/>
          <w:szCs w:val="32"/>
        </w:rPr>
        <w:t>公务用车运行维护费支出27.87万元。比上年度减少0.6565万元，降幅2.3%，为落实基层减负，本年度我中心合理优化工作安排，通过提升工作效率、精简整合现场活动等方式，在保障核心职责履行前提下，严控相关支出，故该项资金较上年有所减少。</w:t>
      </w:r>
    </w:p>
    <w:p w14:paraId="1C599284">
      <w:pPr>
        <w:spacing w:line="578" w:lineRule="exact"/>
        <w:ind w:firstLine="640" w:firstLineChars="200"/>
        <w:rPr>
          <w:rFonts w:eastAsia="方正仿宋简体"/>
          <w:sz w:val="32"/>
          <w:szCs w:val="32"/>
        </w:rPr>
      </w:pPr>
      <w:r>
        <w:rPr>
          <w:rFonts w:eastAsia="方正仿宋简体"/>
          <w:sz w:val="32"/>
          <w:szCs w:val="32"/>
        </w:rPr>
        <w:t>3.公务接待费支出0.00万元，其中：</w:t>
      </w:r>
    </w:p>
    <w:p w14:paraId="160C4302">
      <w:pPr>
        <w:spacing w:line="578" w:lineRule="exact"/>
        <w:ind w:firstLine="640" w:firstLineChars="200"/>
        <w:rPr>
          <w:rFonts w:eastAsia="方正仿宋简体"/>
          <w:sz w:val="32"/>
          <w:szCs w:val="32"/>
        </w:rPr>
      </w:pPr>
      <w:r>
        <w:rPr>
          <w:rFonts w:eastAsia="方正仿宋简体"/>
          <w:sz w:val="32"/>
          <w:szCs w:val="32"/>
        </w:rPr>
        <w:t xml:space="preserve">国内接待费支出0万元，国内公务接待0批次，接待0人次。 </w:t>
      </w:r>
    </w:p>
    <w:p w14:paraId="0181DB08">
      <w:pPr>
        <w:spacing w:line="578" w:lineRule="exact"/>
        <w:ind w:firstLine="640" w:firstLineChars="200"/>
        <w:rPr>
          <w:rFonts w:eastAsia="方正仿宋简体"/>
          <w:sz w:val="32"/>
          <w:szCs w:val="32"/>
        </w:rPr>
      </w:pPr>
      <w:r>
        <w:rPr>
          <w:rFonts w:eastAsia="方正仿宋简体"/>
          <w:sz w:val="32"/>
          <w:szCs w:val="32"/>
        </w:rPr>
        <w:t>国（境）外接待费支出0万元，国（境）外公务接待0批次，接待0人次。</w:t>
      </w:r>
    </w:p>
    <w:p w14:paraId="1A632B78">
      <w:pPr>
        <w:spacing w:line="578" w:lineRule="exact"/>
        <w:ind w:firstLine="640" w:firstLineChars="200"/>
        <w:rPr>
          <w:rFonts w:eastAsia="方正仿宋简体"/>
          <w:sz w:val="32"/>
          <w:szCs w:val="32"/>
        </w:rPr>
      </w:pPr>
      <w:r>
        <w:rPr>
          <w:rFonts w:eastAsia="方正仿宋简体"/>
          <w:sz w:val="32"/>
          <w:szCs w:val="32"/>
        </w:rPr>
        <w:t>公务接待费支出决算数比预算数无增减。</w:t>
      </w:r>
    </w:p>
    <w:p w14:paraId="1A560B3E">
      <w:pPr>
        <w:spacing w:line="578" w:lineRule="exact"/>
        <w:ind w:firstLine="640" w:firstLineChars="200"/>
        <w:rPr>
          <w:rFonts w:eastAsia="黑体"/>
          <w:bCs/>
          <w:sz w:val="32"/>
          <w:szCs w:val="32"/>
        </w:rPr>
      </w:pPr>
      <w:r>
        <w:rPr>
          <w:rFonts w:eastAsia="黑体"/>
          <w:bCs/>
          <w:sz w:val="32"/>
          <w:szCs w:val="32"/>
        </w:rPr>
        <w:t>十、预算绩效情况说明</w:t>
      </w:r>
    </w:p>
    <w:p w14:paraId="4E4D6C68">
      <w:pPr>
        <w:spacing w:line="578" w:lineRule="exact"/>
        <w:ind w:firstLine="640" w:firstLineChars="200"/>
        <w:rPr>
          <w:rFonts w:eastAsia="楷体"/>
          <w:bCs/>
          <w:sz w:val="32"/>
          <w:szCs w:val="32"/>
        </w:rPr>
      </w:pPr>
      <w:r>
        <w:rPr>
          <w:rFonts w:eastAsia="楷体"/>
          <w:bCs/>
          <w:sz w:val="32"/>
          <w:szCs w:val="32"/>
        </w:rPr>
        <w:t>（一）绩效管理工作开展情况</w:t>
      </w:r>
    </w:p>
    <w:p w14:paraId="3F3386C9">
      <w:pPr>
        <w:spacing w:line="578" w:lineRule="exact"/>
        <w:ind w:firstLine="640" w:firstLineChars="200"/>
        <w:rPr>
          <w:rFonts w:eastAsia="方正仿宋简体"/>
          <w:sz w:val="32"/>
          <w:szCs w:val="32"/>
        </w:rPr>
      </w:pPr>
      <w:r>
        <w:rPr>
          <w:rFonts w:eastAsia="方正仿宋简体"/>
          <w:sz w:val="32"/>
          <w:szCs w:val="32"/>
        </w:rPr>
        <w:t>根据预算管理要求，我部门（单位）组织对2025年度一般公共预算项目支出全面开展绩效自评。共涉及资金1380.18万元，占一般公共预算项目支出总额的30.42%。</w:t>
      </w:r>
    </w:p>
    <w:p w14:paraId="6A1D4C90">
      <w:pPr>
        <w:spacing w:line="578" w:lineRule="exact"/>
        <w:ind w:firstLine="640" w:firstLineChars="200"/>
        <w:rPr>
          <w:rFonts w:eastAsia="方正仿宋简体"/>
          <w:sz w:val="32"/>
          <w:szCs w:val="32"/>
        </w:rPr>
      </w:pPr>
      <w:r>
        <w:rPr>
          <w:rFonts w:eastAsia="方正仿宋简体"/>
          <w:sz w:val="32"/>
          <w:szCs w:val="32"/>
        </w:rPr>
        <w:t xml:space="preserve">共组织对“重大传染病经费、基本公共卫生服务补助”等4个项目开展了部门评价，涉及一般公共预算支出1380.18万元，政府性基金预算支出0万元，国有资本经营预算支出0万元。从评价情况来看，所有预算项目皆按照规定计划实施，资金执行进度和项目进展情况良好，均达到预期规定目标。 </w:t>
      </w:r>
    </w:p>
    <w:p w14:paraId="045F60B4">
      <w:pPr>
        <w:spacing w:line="578" w:lineRule="exact"/>
        <w:ind w:firstLine="640" w:firstLineChars="200"/>
        <w:rPr>
          <w:rFonts w:eastAsia="楷体"/>
          <w:bCs/>
          <w:sz w:val="32"/>
          <w:szCs w:val="32"/>
        </w:rPr>
      </w:pPr>
      <w:r>
        <w:rPr>
          <w:rFonts w:eastAsia="楷体"/>
          <w:bCs/>
          <w:sz w:val="32"/>
          <w:szCs w:val="32"/>
        </w:rPr>
        <w:t>（二）部门决算中项目绩效自评结果（预算部门、单位可根据实际情况反映重点项目绩效自评结果）</w:t>
      </w:r>
    </w:p>
    <w:p w14:paraId="33B2423E">
      <w:pPr>
        <w:spacing w:line="578" w:lineRule="exact"/>
        <w:ind w:firstLine="640" w:firstLineChars="200"/>
        <w:rPr>
          <w:rFonts w:eastAsia="方正仿宋简体"/>
          <w:sz w:val="32"/>
          <w:szCs w:val="32"/>
        </w:rPr>
      </w:pPr>
      <w:r>
        <w:rPr>
          <w:rFonts w:eastAsia="方正仿宋简体"/>
          <w:sz w:val="32"/>
          <w:szCs w:val="32"/>
        </w:rPr>
        <w:t>我部门（单位）在部门决算中反映重大传染病经费、基本公共卫生服务补助、疫苗免费接种经费、艾滋病防治工作经费等4个项目绩效自评结果。</w:t>
      </w:r>
    </w:p>
    <w:p w14:paraId="187C997C">
      <w:pPr>
        <w:spacing w:line="578" w:lineRule="exact"/>
        <w:ind w:firstLine="640" w:firstLineChars="200"/>
        <w:rPr>
          <w:rFonts w:eastAsia="方正仿宋简体"/>
          <w:sz w:val="32"/>
          <w:szCs w:val="32"/>
        </w:rPr>
      </w:pPr>
      <w:r>
        <w:rPr>
          <w:rFonts w:eastAsia="方正仿宋简体"/>
          <w:sz w:val="32"/>
          <w:szCs w:val="32"/>
        </w:rPr>
        <w:t xml:space="preserve">1.重大传染病经费项目绩效自评报告：根据年初设定的绩效目标，项目绩效自评得分为100分。全年预算数为205.25万元，执行数为129.06万元，完成预算的62.88%。项目绩效目标完成情况：一是按照目标完成资金为129.06万元；二是保质保量完成各项基本公共卫生服务工作，年度工作任务按期完成。发现的主要问题及原因：资金支出节奏不均衡，预算执行未达到100%。下一步改进措施：合理统筹项目实施时许，加快资金支出进度，保障财政资金落到实处。 </w:t>
      </w:r>
    </w:p>
    <w:p w14:paraId="3C3ADA29">
      <w:pPr>
        <w:spacing w:line="578" w:lineRule="exact"/>
        <w:ind w:firstLine="640" w:firstLineChars="200"/>
        <w:rPr>
          <w:rFonts w:eastAsia="方正仿宋简体"/>
          <w:sz w:val="32"/>
          <w:szCs w:val="32"/>
        </w:rPr>
      </w:pPr>
      <w:r>
        <w:rPr>
          <w:rFonts w:eastAsia="方正仿宋简体"/>
          <w:sz w:val="32"/>
          <w:szCs w:val="32"/>
        </w:rPr>
        <w:t xml:space="preserve">2.基本公共卫生服务补助项目绩效自评报告：根据年初设定的绩效目标，项目绩效自评得分为100分。全年预算数为87万元，执行数为79.50万元，完成预算的91.38%。项目绩效目标完成情况：一是按照目标完成资金为79.50万元；二是保质保量完成各项基本公共卫生服务工作，年度工作任务按期完成。发现的主要问题及原因：资金支出节奏不均衡，预算执行未达到100%。下一步改进措施：合理统筹项目实施时许，加快资金支出进度，保障财政资金落到实处。 </w:t>
      </w:r>
    </w:p>
    <w:p w14:paraId="06AB3E02">
      <w:pPr>
        <w:spacing w:line="578" w:lineRule="exact"/>
        <w:ind w:firstLine="640" w:firstLineChars="200"/>
        <w:rPr>
          <w:rFonts w:eastAsia="方正仿宋简体"/>
          <w:sz w:val="32"/>
          <w:szCs w:val="32"/>
        </w:rPr>
      </w:pPr>
      <w:r>
        <w:rPr>
          <w:rFonts w:eastAsia="方正仿宋简体"/>
          <w:sz w:val="32"/>
          <w:szCs w:val="32"/>
        </w:rPr>
        <w:t>3. 疫苗免费接种经费项目绩效自评报告：根据年初设定的绩效目标，项目绩效自评得分为100分。全年预算数为341.02万元，执行数为341.02万元，完成预算的100%。项目绩效目标完成情况：一是按照目标完成资金为341.02万元；二是项目实现在规定时间内完成。发现的主要问题及原因：无。下一步改进措施：继续加快项目资金支出进度，保证财政资金用到实处。</w:t>
      </w:r>
    </w:p>
    <w:p w14:paraId="1C07FAF5">
      <w:pPr>
        <w:spacing w:line="578" w:lineRule="exact"/>
        <w:ind w:firstLine="640" w:firstLineChars="200"/>
        <w:rPr>
          <w:rFonts w:eastAsia="方正仿宋简体"/>
          <w:sz w:val="32"/>
          <w:szCs w:val="32"/>
        </w:rPr>
      </w:pPr>
      <w:r>
        <w:rPr>
          <w:rFonts w:eastAsia="方正仿宋简体"/>
          <w:sz w:val="32"/>
          <w:szCs w:val="32"/>
        </w:rPr>
        <w:t>4.艾滋病防治工作经费项目绩效自评报告：根据年初设定的绩效目标，项目绩效自评得分为100分。全年预算数为12.04万元，执行数为12.04万元，完成预算的100%。项目绩效目标完成情况：一是按照目标完成资金为12.04万元；二是项目实现在规定时间内完成。发现的主要问题及原因：无。下一步改进措施：继续加快项目资金支出进度，保证财政资金用到实处。</w:t>
      </w:r>
    </w:p>
    <w:p w14:paraId="50532409">
      <w:pPr>
        <w:spacing w:line="578" w:lineRule="exact"/>
        <w:ind w:firstLine="640" w:firstLineChars="200"/>
        <w:rPr>
          <w:rFonts w:eastAsia="方正仿宋简体"/>
          <w:sz w:val="32"/>
          <w:szCs w:val="32"/>
        </w:rPr>
      </w:pPr>
      <w:r>
        <w:rPr>
          <w:rFonts w:eastAsia="方正仿宋简体"/>
          <w:sz w:val="32"/>
          <w:szCs w:val="32"/>
        </w:rPr>
        <w:t>5. 疾控业务经费项目绩效自评报告：根据年初设定的绩效目标，项目绩效自评得分为100分。全年预算数为70.8万元，执行数为70.8万元，完成预算的100%。项目绩效目标完成情况：一是按照目标完成资金为70.8万元；二是项目实现在规定时间内完成。发现的主要问题及原因：无。下一步改进措施：继续加快项目资金支出进度，保证财政资金用到实处。</w:t>
      </w:r>
    </w:p>
    <w:p w14:paraId="12345E95">
      <w:pPr>
        <w:spacing w:line="578" w:lineRule="exact"/>
        <w:ind w:firstLine="640" w:firstLineChars="200"/>
        <w:rPr>
          <w:rFonts w:eastAsia="楷体"/>
          <w:bCs/>
          <w:sz w:val="32"/>
          <w:szCs w:val="32"/>
        </w:rPr>
      </w:pPr>
      <w:r>
        <w:rPr>
          <w:rFonts w:eastAsia="楷体"/>
          <w:bCs/>
          <w:sz w:val="32"/>
          <w:szCs w:val="32"/>
        </w:rPr>
        <w:t>（三）部门评价结果（预算部门填写，部门所属单位不需填写）</w:t>
      </w:r>
    </w:p>
    <w:p w14:paraId="325A90AC">
      <w:pPr>
        <w:spacing w:line="578" w:lineRule="exact"/>
        <w:ind w:firstLine="640" w:firstLineChars="200"/>
        <w:rPr>
          <w:rFonts w:eastAsia="方正仿宋简体"/>
          <w:sz w:val="32"/>
          <w:szCs w:val="32"/>
        </w:rPr>
      </w:pPr>
      <w:r>
        <w:rPr>
          <w:rFonts w:eastAsia="方正仿宋简体"/>
          <w:sz w:val="32"/>
          <w:szCs w:val="32"/>
        </w:rPr>
        <w:t>部门评价项目数量在5个，其中3个项目执行进度100%，2个项目进度62.88、91.38%。</w:t>
      </w:r>
    </w:p>
    <w:p w14:paraId="18646F88">
      <w:pPr>
        <w:spacing w:line="578" w:lineRule="exact"/>
        <w:ind w:firstLine="640" w:firstLineChars="200"/>
        <w:rPr>
          <w:rFonts w:eastAsia="楷体"/>
          <w:bCs/>
          <w:sz w:val="32"/>
          <w:szCs w:val="32"/>
        </w:rPr>
      </w:pPr>
      <w:r>
        <w:rPr>
          <w:rFonts w:eastAsia="楷体"/>
          <w:bCs/>
          <w:sz w:val="32"/>
          <w:szCs w:val="32"/>
        </w:rPr>
        <w:t>（四）财政评价结果（如有）</w:t>
      </w:r>
    </w:p>
    <w:p w14:paraId="6D735D5A">
      <w:pPr>
        <w:spacing w:line="578" w:lineRule="exact"/>
        <w:ind w:firstLine="640" w:firstLineChars="200"/>
        <w:rPr>
          <w:rFonts w:eastAsia="仿宋_GB2312"/>
          <w:sz w:val="32"/>
          <w:szCs w:val="32"/>
        </w:rPr>
      </w:pPr>
      <w:r>
        <w:rPr>
          <w:rFonts w:eastAsia="仿宋_GB2312"/>
          <w:sz w:val="32"/>
          <w:szCs w:val="32"/>
          <w:lang w:val="zh-CN"/>
        </w:rPr>
        <w:t>无。</w:t>
      </w:r>
    </w:p>
    <w:p w14:paraId="2783F65F">
      <w:pPr>
        <w:spacing w:line="578" w:lineRule="exact"/>
        <w:ind w:firstLine="640" w:firstLineChars="200"/>
        <w:rPr>
          <w:rFonts w:eastAsia="黑体"/>
          <w:bCs/>
          <w:sz w:val="32"/>
          <w:szCs w:val="32"/>
        </w:rPr>
      </w:pPr>
      <w:r>
        <w:rPr>
          <w:rFonts w:eastAsia="黑体"/>
          <w:bCs/>
          <w:sz w:val="32"/>
          <w:szCs w:val="32"/>
        </w:rPr>
        <w:t>十一、其他重要事项情况说明</w:t>
      </w:r>
    </w:p>
    <w:p w14:paraId="0102F3ED">
      <w:pPr>
        <w:spacing w:line="578" w:lineRule="exact"/>
        <w:ind w:firstLine="640" w:firstLineChars="200"/>
        <w:rPr>
          <w:rFonts w:eastAsia="方正仿宋简体"/>
          <w:sz w:val="32"/>
          <w:szCs w:val="32"/>
        </w:rPr>
      </w:pPr>
      <w:bookmarkStart w:id="95" w:name="_Toc18325_WPSOffice_Level2"/>
      <w:bookmarkStart w:id="96" w:name="_Toc23598_WPSOffice_Level2"/>
      <w:bookmarkStart w:id="97" w:name="_Toc15565_WPSOffice_Level2"/>
      <w:bookmarkStart w:id="98" w:name="_Toc32639_WPSOffice_Level2"/>
      <w:bookmarkStart w:id="99" w:name="_Toc15262_WPSOffice_Level2"/>
      <w:bookmarkStart w:id="100" w:name="_Toc5978_WPSOffice_Level2"/>
      <w:r>
        <w:rPr>
          <w:rFonts w:eastAsia="楷体"/>
          <w:bCs/>
          <w:sz w:val="32"/>
          <w:szCs w:val="32"/>
        </w:rPr>
        <w:t>（一）机关运行经费支出情况</w:t>
      </w:r>
      <w:bookmarkEnd w:id="95"/>
      <w:bookmarkEnd w:id="96"/>
      <w:bookmarkEnd w:id="97"/>
      <w:bookmarkEnd w:id="98"/>
      <w:bookmarkEnd w:id="99"/>
      <w:bookmarkEnd w:id="100"/>
      <w:r>
        <w:rPr>
          <w:rFonts w:eastAsia="方正仿宋简体"/>
          <w:sz w:val="32"/>
          <w:szCs w:val="32"/>
        </w:rPr>
        <w:t xml:space="preserve">2025年度疾控部门（单位）机关运行经费0万元（为部门决算中行政单位和参公事业单位财政拨款基本支出中公用经费支出之和，事业单位没有机关运行经费支出），比年初预算增加（减少）0万元，完成预算的00%；与2024年度相比，机关运行经费增加万元，增长。  </w:t>
      </w:r>
    </w:p>
    <w:p w14:paraId="4B390E23">
      <w:pPr>
        <w:spacing w:line="578" w:lineRule="exact"/>
        <w:ind w:firstLine="640" w:firstLineChars="200"/>
        <w:rPr>
          <w:rFonts w:eastAsia="楷体"/>
          <w:bCs/>
          <w:sz w:val="32"/>
          <w:szCs w:val="32"/>
        </w:rPr>
      </w:pPr>
      <w:bookmarkStart w:id="101" w:name="_Toc30383_WPSOffice_Level2"/>
      <w:bookmarkStart w:id="102" w:name="_Toc13084_WPSOffice_Level2"/>
      <w:bookmarkStart w:id="103" w:name="_Toc3131_WPSOffice_Level2"/>
      <w:bookmarkStart w:id="104" w:name="_Toc32689_WPSOffice_Level2"/>
      <w:bookmarkStart w:id="105" w:name="_Toc23966_WPSOffice_Level2"/>
      <w:bookmarkStart w:id="106" w:name="_Toc25333_WPSOffice_Level2"/>
      <w:r>
        <w:rPr>
          <w:rFonts w:eastAsia="楷体"/>
          <w:bCs/>
          <w:sz w:val="32"/>
          <w:szCs w:val="32"/>
        </w:rPr>
        <w:t>（二）政府采购支出情况</w:t>
      </w:r>
      <w:bookmarkEnd w:id="101"/>
      <w:bookmarkEnd w:id="102"/>
      <w:bookmarkEnd w:id="103"/>
      <w:bookmarkEnd w:id="104"/>
      <w:bookmarkEnd w:id="105"/>
      <w:bookmarkEnd w:id="106"/>
    </w:p>
    <w:p w14:paraId="4D813A30">
      <w:pPr>
        <w:spacing w:line="578" w:lineRule="exact"/>
        <w:ind w:firstLine="640" w:firstLineChars="200"/>
        <w:rPr>
          <w:rFonts w:eastAsia="方正仿宋简体"/>
          <w:sz w:val="32"/>
          <w:szCs w:val="32"/>
        </w:rPr>
      </w:pPr>
      <w:r>
        <w:rPr>
          <w:rFonts w:eastAsia="方正仿宋简体"/>
          <w:sz w:val="32"/>
          <w:szCs w:val="32"/>
        </w:rPr>
        <w:t>2025年度疾控部门（单位）政府采购支出总额126.89万元，其中：政府采购货物支出126.89万元、政府采购工程支出0万元、政府采购服务支出0万元。</w:t>
      </w:r>
    </w:p>
    <w:p w14:paraId="5108B890">
      <w:pPr>
        <w:spacing w:line="578" w:lineRule="exact"/>
        <w:ind w:firstLine="640" w:firstLineChars="200"/>
        <w:rPr>
          <w:rFonts w:eastAsia="楷体"/>
          <w:bCs/>
          <w:sz w:val="32"/>
          <w:szCs w:val="32"/>
        </w:rPr>
      </w:pPr>
      <w:bookmarkStart w:id="107" w:name="_Toc527_WPSOffice_Level2"/>
      <w:bookmarkStart w:id="108" w:name="_Toc6016_WPSOffice_Level2"/>
      <w:bookmarkStart w:id="109" w:name="_Toc29584_WPSOffice_Level2"/>
      <w:bookmarkStart w:id="110" w:name="_Toc19989_WPSOffice_Level2"/>
      <w:bookmarkStart w:id="111" w:name="_Toc15129_WPSOffice_Level2"/>
      <w:bookmarkStart w:id="112" w:name="_Toc10902_WPSOffice_Level2"/>
      <w:r>
        <w:rPr>
          <w:rFonts w:eastAsia="楷体"/>
          <w:bCs/>
          <w:sz w:val="32"/>
          <w:szCs w:val="32"/>
        </w:rPr>
        <w:t>（三）国有资产占用情况</w:t>
      </w:r>
      <w:bookmarkEnd w:id="107"/>
      <w:bookmarkEnd w:id="108"/>
      <w:bookmarkEnd w:id="109"/>
      <w:bookmarkEnd w:id="110"/>
      <w:bookmarkEnd w:id="111"/>
      <w:bookmarkEnd w:id="112"/>
    </w:p>
    <w:p w14:paraId="0640B006">
      <w:pPr>
        <w:spacing w:line="578" w:lineRule="exact"/>
        <w:ind w:firstLine="640" w:firstLineChars="200"/>
        <w:rPr>
          <w:rFonts w:eastAsia="方正仿宋简体"/>
          <w:sz w:val="32"/>
          <w:szCs w:val="32"/>
        </w:rPr>
      </w:pPr>
      <w:r>
        <w:rPr>
          <w:rFonts w:eastAsia="方正仿宋简体"/>
          <w:sz w:val="32"/>
          <w:szCs w:val="32"/>
        </w:rPr>
        <w:t>截至2025年12月31日，本部门拥有房屋面积7609.39平方米。</w:t>
      </w:r>
    </w:p>
    <w:p w14:paraId="42663924">
      <w:pPr>
        <w:spacing w:line="578" w:lineRule="exact"/>
        <w:ind w:firstLine="640" w:firstLineChars="200"/>
        <w:rPr>
          <w:rFonts w:eastAsia="方正仿宋简体"/>
          <w:sz w:val="32"/>
          <w:szCs w:val="32"/>
        </w:rPr>
      </w:pPr>
      <w:r>
        <w:rPr>
          <w:rFonts w:eastAsia="方正仿宋简体"/>
          <w:sz w:val="32"/>
          <w:szCs w:val="32"/>
        </w:rPr>
        <w:t>本部门共有车辆6辆，其中，副部（省）级及以上领导用车0辆、主要负责人用车0辆、机要通信用车0辆、应急保障用车6辆、执法执勤用车0辆、特种专业技术用车0辆、离退休干部服务用车0辆、其他用车0辆。</w:t>
      </w:r>
    </w:p>
    <w:p w14:paraId="1E7E76F5">
      <w:pPr>
        <w:spacing w:line="578" w:lineRule="exact"/>
        <w:ind w:firstLine="640" w:firstLineChars="200"/>
        <w:rPr>
          <w:rFonts w:eastAsia="方正仿宋简体"/>
          <w:sz w:val="32"/>
          <w:szCs w:val="32"/>
        </w:rPr>
      </w:pPr>
      <w:r>
        <w:rPr>
          <w:rFonts w:eastAsia="方正仿宋简体"/>
          <w:sz w:val="32"/>
          <w:szCs w:val="32"/>
        </w:rPr>
        <w:t>单价100万元（含）以上设备（不含车辆）0台（套）。</w:t>
      </w:r>
    </w:p>
    <w:p w14:paraId="160502C1">
      <w:pPr>
        <w:spacing w:line="578" w:lineRule="exact"/>
        <w:jc w:val="center"/>
        <w:rPr>
          <w:rFonts w:eastAsia="黑体"/>
          <w:sz w:val="32"/>
          <w:szCs w:val="32"/>
        </w:rPr>
      </w:pPr>
      <w:bookmarkStart w:id="113" w:name="_Toc11039_WPSOffice_Level1"/>
      <w:bookmarkStart w:id="114" w:name="_Toc15425_WPSOffice_Level1"/>
      <w:bookmarkStart w:id="115" w:name="_Toc17580_WPSOffice_Level1"/>
      <w:bookmarkStart w:id="116" w:name="_Toc8808_WPSOffice_Level1"/>
      <w:bookmarkStart w:id="117" w:name="_Toc8874_WPSOffice_Level1"/>
      <w:bookmarkStart w:id="118" w:name="_Toc4398_WPSOffice_Level1"/>
      <w:r>
        <w:rPr>
          <w:rFonts w:eastAsia="黑体"/>
          <w:sz w:val="32"/>
          <w:szCs w:val="32"/>
        </w:rPr>
        <w:t>第四部分  名词解释</w:t>
      </w:r>
      <w:bookmarkEnd w:id="113"/>
      <w:bookmarkEnd w:id="114"/>
      <w:bookmarkEnd w:id="115"/>
      <w:bookmarkEnd w:id="116"/>
      <w:bookmarkEnd w:id="117"/>
      <w:bookmarkEnd w:id="118"/>
    </w:p>
    <w:p w14:paraId="615D5DCF">
      <w:pPr>
        <w:spacing w:line="578" w:lineRule="exact"/>
        <w:jc w:val="center"/>
        <w:rPr>
          <w:rFonts w:eastAsia="黑体"/>
          <w:sz w:val="32"/>
          <w:szCs w:val="32"/>
        </w:rPr>
      </w:pPr>
    </w:p>
    <w:p w14:paraId="399C45B3">
      <w:pPr>
        <w:numPr>
          <w:ilvl w:val="0"/>
          <w:numId w:val="3"/>
        </w:numPr>
        <w:spacing w:line="578" w:lineRule="exact"/>
        <w:ind w:firstLine="640" w:firstLineChars="200"/>
        <w:rPr>
          <w:rFonts w:eastAsia="方正仿宋简体"/>
          <w:sz w:val="32"/>
          <w:szCs w:val="32"/>
        </w:rPr>
      </w:pPr>
      <w:r>
        <w:rPr>
          <w:rFonts w:eastAsia="方正仿宋简体"/>
          <w:sz w:val="32"/>
          <w:szCs w:val="32"/>
        </w:rPr>
        <w:t>财政拨款收入：指同级政府财政部门当年拨付的各类财政拨款。</w:t>
      </w:r>
    </w:p>
    <w:p w14:paraId="3185B21D">
      <w:pPr>
        <w:spacing w:line="578" w:lineRule="exact"/>
        <w:ind w:firstLine="640" w:firstLineChars="200"/>
        <w:rPr>
          <w:rFonts w:eastAsia="方正仿宋简体"/>
          <w:sz w:val="32"/>
          <w:szCs w:val="32"/>
        </w:rPr>
      </w:pPr>
      <w:r>
        <w:rPr>
          <w:rFonts w:eastAsia="方正仿宋简体"/>
          <w:sz w:val="32"/>
          <w:szCs w:val="32"/>
        </w:rPr>
        <w:t>二、上级补助收入：指事业单位从主管部门和上级单位取得的非财政补助收入。</w:t>
      </w:r>
    </w:p>
    <w:p w14:paraId="77FF0B3E">
      <w:pPr>
        <w:spacing w:line="578" w:lineRule="exact"/>
        <w:ind w:firstLine="640" w:firstLineChars="200"/>
        <w:rPr>
          <w:rFonts w:eastAsia="方正仿宋简体"/>
          <w:sz w:val="32"/>
          <w:szCs w:val="32"/>
        </w:rPr>
      </w:pPr>
      <w:r>
        <w:rPr>
          <w:rFonts w:eastAsia="方正仿宋简体"/>
          <w:sz w:val="32"/>
          <w:szCs w:val="32"/>
        </w:rPr>
        <w:t>三、事业收入：指事业单位开展专业业务活动及辅助活动取得的收入。</w:t>
      </w:r>
    </w:p>
    <w:p w14:paraId="675FCE16">
      <w:pPr>
        <w:spacing w:line="578" w:lineRule="exact"/>
        <w:ind w:firstLine="640" w:firstLineChars="200"/>
        <w:rPr>
          <w:rFonts w:eastAsia="方正仿宋简体"/>
          <w:sz w:val="32"/>
          <w:szCs w:val="32"/>
        </w:rPr>
      </w:pPr>
      <w:r>
        <w:rPr>
          <w:rFonts w:eastAsia="方正仿宋简体"/>
          <w:sz w:val="32"/>
          <w:szCs w:val="32"/>
        </w:rPr>
        <w:t>四、经营收入：指事业单位在专业业务活动及其辅助活动之外开展非独立核算经营活动取得的收入。</w:t>
      </w:r>
    </w:p>
    <w:p w14:paraId="58D4CED0">
      <w:pPr>
        <w:spacing w:line="578" w:lineRule="exact"/>
        <w:ind w:firstLine="640" w:firstLineChars="200"/>
        <w:rPr>
          <w:rFonts w:eastAsia="方正仿宋简体"/>
          <w:sz w:val="32"/>
          <w:szCs w:val="32"/>
        </w:rPr>
      </w:pPr>
      <w:r>
        <w:rPr>
          <w:rFonts w:eastAsia="方正仿宋简体"/>
          <w:sz w:val="32"/>
          <w:szCs w:val="32"/>
        </w:rPr>
        <w:t>五、附属单位上缴收入：指事业单位取得附属独立核算单位根据有关规定上缴的收入。</w:t>
      </w:r>
    </w:p>
    <w:p w14:paraId="50C94D92">
      <w:pPr>
        <w:spacing w:line="578" w:lineRule="exact"/>
        <w:ind w:firstLine="640" w:firstLineChars="200"/>
        <w:rPr>
          <w:rFonts w:eastAsia="方正仿宋简体"/>
          <w:sz w:val="32"/>
          <w:szCs w:val="32"/>
        </w:rPr>
      </w:pPr>
      <w:r>
        <w:rPr>
          <w:rFonts w:eastAsia="方正仿宋简体"/>
          <w:sz w:val="32"/>
          <w:szCs w:val="32"/>
        </w:rPr>
        <w:t>六、其他收入：指除上述“财政拨款收入”“事业收入”“上级补助收入”“经营收入”“附属单位上缴收入”等以外的收入。</w:t>
      </w:r>
    </w:p>
    <w:p w14:paraId="3911470A">
      <w:pPr>
        <w:spacing w:line="578" w:lineRule="exact"/>
        <w:ind w:firstLine="640" w:firstLineChars="200"/>
        <w:rPr>
          <w:rFonts w:eastAsia="方正仿宋简体"/>
          <w:sz w:val="32"/>
          <w:szCs w:val="32"/>
        </w:rPr>
      </w:pPr>
      <w:r>
        <w:rPr>
          <w:rFonts w:eastAsia="方正仿宋简体"/>
          <w:sz w:val="32"/>
          <w:szCs w:val="32"/>
        </w:rPr>
        <w:t>七、使用非财政拨款结余：指事业单位在当年的“财政拨款收入”“事业收入”“经营收入”“其他收入”等不足以安排当年支出的情况下，使用非同级财政拨款结余资金弥补本年度收支缺口。</w:t>
      </w:r>
    </w:p>
    <w:p w14:paraId="65FCA5A7">
      <w:pPr>
        <w:spacing w:line="578" w:lineRule="exact"/>
        <w:ind w:firstLine="640" w:firstLineChars="200"/>
        <w:rPr>
          <w:rFonts w:eastAsia="方正仿宋简体"/>
          <w:sz w:val="32"/>
          <w:szCs w:val="32"/>
        </w:rPr>
      </w:pPr>
      <w:r>
        <w:rPr>
          <w:rFonts w:eastAsia="方正仿宋简体"/>
          <w:sz w:val="32"/>
          <w:szCs w:val="32"/>
        </w:rPr>
        <w:t>八、年初结转和结余：指以前年度尚未完成、结转到本年按有关规定继续使用的资金，或项目已完成等产生的结余资金。</w:t>
      </w:r>
    </w:p>
    <w:p w14:paraId="2F77A4C9">
      <w:pPr>
        <w:spacing w:line="578" w:lineRule="exact"/>
        <w:ind w:firstLine="640" w:firstLineChars="200"/>
        <w:rPr>
          <w:rFonts w:eastAsia="方正仿宋简体"/>
          <w:sz w:val="32"/>
          <w:szCs w:val="32"/>
        </w:rPr>
      </w:pPr>
      <w:r>
        <w:rPr>
          <w:rFonts w:eastAsia="方正仿宋简体"/>
          <w:sz w:val="32"/>
          <w:szCs w:val="32"/>
        </w:rPr>
        <w:t>九、结余分配：指事业单位缴纳企业所得税以及从非财政拨款结余或经营结余中提取各类结余的情况。</w:t>
      </w:r>
    </w:p>
    <w:p w14:paraId="4A5BD669">
      <w:pPr>
        <w:spacing w:line="578" w:lineRule="exact"/>
        <w:ind w:firstLine="640" w:firstLineChars="200"/>
        <w:rPr>
          <w:rFonts w:eastAsia="方正仿宋简体"/>
          <w:sz w:val="32"/>
          <w:szCs w:val="32"/>
        </w:rPr>
      </w:pPr>
      <w:r>
        <w:rPr>
          <w:rFonts w:eastAsia="方正仿宋简体"/>
          <w:sz w:val="32"/>
          <w:szCs w:val="32"/>
        </w:rPr>
        <w:t>十、年末结转和结余：指本年度或以前年度预算安排、因客观条件发生变化无法按原计划实施，需要延迟到以后年度按有关规定继续使用的资金（不包括事业单位非财政拨款结余和专用结余）。</w:t>
      </w:r>
    </w:p>
    <w:p w14:paraId="106BC070">
      <w:pPr>
        <w:spacing w:line="578" w:lineRule="exact"/>
        <w:ind w:firstLine="640" w:firstLineChars="200"/>
        <w:rPr>
          <w:rFonts w:eastAsia="方正仿宋简体"/>
          <w:sz w:val="32"/>
          <w:szCs w:val="32"/>
        </w:rPr>
      </w:pPr>
      <w:r>
        <w:rPr>
          <w:rFonts w:eastAsia="方正仿宋简体"/>
          <w:sz w:val="32"/>
          <w:szCs w:val="32"/>
        </w:rPr>
        <w:t>十一、基本支出：指为保障机构正常运转、完成日常工作任务而发生的人员支出和公用支出。</w:t>
      </w:r>
    </w:p>
    <w:p w14:paraId="56E61778">
      <w:pPr>
        <w:spacing w:line="578" w:lineRule="exact"/>
        <w:ind w:firstLine="640" w:firstLineChars="200"/>
        <w:rPr>
          <w:rFonts w:eastAsia="方正仿宋简体"/>
          <w:sz w:val="32"/>
          <w:szCs w:val="32"/>
        </w:rPr>
      </w:pPr>
      <w:r>
        <w:rPr>
          <w:rFonts w:eastAsia="方正仿宋简体"/>
          <w:sz w:val="32"/>
          <w:szCs w:val="32"/>
        </w:rPr>
        <w:t>十二、项目支出：指在基本支出之外为完成特定行政任务和事业发展目标所发生的支出。</w:t>
      </w:r>
    </w:p>
    <w:p w14:paraId="6C5DCE7F">
      <w:pPr>
        <w:spacing w:line="578" w:lineRule="exact"/>
        <w:ind w:firstLine="640" w:firstLineChars="200"/>
        <w:rPr>
          <w:rFonts w:eastAsia="方正仿宋简体"/>
          <w:sz w:val="32"/>
          <w:szCs w:val="32"/>
        </w:rPr>
      </w:pPr>
      <w:r>
        <w:rPr>
          <w:rFonts w:eastAsia="方正仿宋简体"/>
          <w:sz w:val="32"/>
          <w:szCs w:val="32"/>
        </w:rPr>
        <w:t>十三、经营支出：指事业单位在专业业务活动及其辅助活动之外开展非独立核算经营活动发生的支出。</w:t>
      </w:r>
    </w:p>
    <w:p w14:paraId="636B5ABE">
      <w:pPr>
        <w:spacing w:line="578" w:lineRule="exact"/>
        <w:ind w:firstLine="640" w:firstLineChars="200"/>
        <w:rPr>
          <w:rFonts w:eastAsia="方正仿宋简体"/>
          <w:sz w:val="32"/>
          <w:szCs w:val="32"/>
        </w:rPr>
      </w:pPr>
      <w:r>
        <w:rPr>
          <w:rFonts w:eastAsia="方正仿宋简体"/>
          <w:sz w:val="32"/>
          <w:szCs w:val="32"/>
        </w:rPr>
        <w:t>十四、“三公”经费：纳入本级财政预决算管理的“三公”经费，是指用一般公共预算财政拨款、政府性基金预算财政拨款及国有资本经营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14:paraId="22B88416">
      <w:pPr>
        <w:spacing w:line="578" w:lineRule="exact"/>
        <w:ind w:firstLine="645"/>
        <w:rPr>
          <w:rFonts w:eastAsia="方正仿宋简体"/>
          <w:sz w:val="32"/>
          <w:szCs w:val="32"/>
        </w:rPr>
      </w:pPr>
      <w:r>
        <w:rPr>
          <w:rFonts w:eastAsia="方正仿宋简体"/>
          <w:sz w:val="32"/>
          <w:szCs w:val="32"/>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14:paraId="56349F62">
      <w:pPr>
        <w:spacing w:line="578" w:lineRule="exact"/>
      </w:pPr>
    </w:p>
    <w:sectPr>
      <w:footerReference r:id="rId3" w:type="default"/>
      <w:footerReference r:id="rId4"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黑体简体">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仿宋简体">
    <w:altName w:val="微软雅黑"/>
    <w:panose1 w:val="03000509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ADAB0">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3</w:t>
    </w:r>
    <w:r>
      <w:fldChar w:fldCharType="end"/>
    </w:r>
  </w:p>
  <w:p w14:paraId="5412DE4E">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C4E18">
    <w:pPr>
      <w:pStyle w:val="4"/>
      <w:framePr w:wrap="around" w:vAnchor="text" w:hAnchor="margin" w:xAlign="center" w:y="1"/>
      <w:rPr>
        <w:rStyle w:val="9"/>
      </w:rPr>
    </w:pPr>
    <w:r>
      <w:fldChar w:fldCharType="begin"/>
    </w:r>
    <w:r>
      <w:rPr>
        <w:rStyle w:val="9"/>
      </w:rPr>
      <w:instrText xml:space="preserve">PAGE  </w:instrText>
    </w:r>
    <w:r>
      <w:fldChar w:fldCharType="end"/>
    </w:r>
  </w:p>
  <w:p w14:paraId="02123C10">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FC2DCC"/>
    <w:multiLevelType w:val="singleLevel"/>
    <w:tmpl w:val="AFFC2DCC"/>
    <w:lvl w:ilvl="0" w:tentative="0">
      <w:start w:val="1"/>
      <w:numFmt w:val="chineseCounting"/>
      <w:suff w:val="nothing"/>
      <w:lvlText w:val="%1、"/>
      <w:lvlJc w:val="left"/>
      <w:rPr>
        <w:rFonts w:hint="eastAsia"/>
      </w:rPr>
    </w:lvl>
  </w:abstractNum>
  <w:abstractNum w:abstractNumId="1">
    <w:nsid w:val="1CAB0DFC"/>
    <w:multiLevelType w:val="multilevel"/>
    <w:tmpl w:val="1CAB0DFC"/>
    <w:lvl w:ilvl="0" w:tentative="0">
      <w:start w:val="1"/>
      <w:numFmt w:val="japaneseCounting"/>
      <w:lvlText w:val="%1、"/>
      <w:lvlJc w:val="left"/>
      <w:pPr>
        <w:ind w:left="1520" w:hanging="72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2">
    <w:nsid w:val="72109F8D"/>
    <w:multiLevelType w:val="singleLevel"/>
    <w:tmpl w:val="72109F8D"/>
    <w:lvl w:ilvl="0" w:tentative="0">
      <w:start w:val="7"/>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NotTrackMove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2VlZThlZDk5ZTQ4MTFjNGY3MjIxNTdiOWMzZmQwMWMifQ=="/>
  </w:docVars>
  <w:rsids>
    <w:rsidRoot w:val="A7F73C99"/>
    <w:rsid w:val="000112C7"/>
    <w:rsid w:val="00027459"/>
    <w:rsid w:val="00031304"/>
    <w:rsid w:val="00054059"/>
    <w:rsid w:val="00057B93"/>
    <w:rsid w:val="00064A91"/>
    <w:rsid w:val="000679F9"/>
    <w:rsid w:val="000718C4"/>
    <w:rsid w:val="000779B0"/>
    <w:rsid w:val="000D4B47"/>
    <w:rsid w:val="001148A9"/>
    <w:rsid w:val="00142541"/>
    <w:rsid w:val="001616AB"/>
    <w:rsid w:val="001A067C"/>
    <w:rsid w:val="001E4E23"/>
    <w:rsid w:val="001E510D"/>
    <w:rsid w:val="001F28C1"/>
    <w:rsid w:val="001F4EC0"/>
    <w:rsid w:val="00213789"/>
    <w:rsid w:val="00217BC0"/>
    <w:rsid w:val="00221D40"/>
    <w:rsid w:val="002676EF"/>
    <w:rsid w:val="002A6E07"/>
    <w:rsid w:val="0032112E"/>
    <w:rsid w:val="0032339A"/>
    <w:rsid w:val="0034456B"/>
    <w:rsid w:val="00353AD1"/>
    <w:rsid w:val="003D2F77"/>
    <w:rsid w:val="003F78E6"/>
    <w:rsid w:val="004042E0"/>
    <w:rsid w:val="00406E97"/>
    <w:rsid w:val="0041321F"/>
    <w:rsid w:val="00422E46"/>
    <w:rsid w:val="00431F1A"/>
    <w:rsid w:val="0045270B"/>
    <w:rsid w:val="00473222"/>
    <w:rsid w:val="004854E4"/>
    <w:rsid w:val="00496A5D"/>
    <w:rsid w:val="004971E0"/>
    <w:rsid w:val="004B671F"/>
    <w:rsid w:val="004C755C"/>
    <w:rsid w:val="004D1A85"/>
    <w:rsid w:val="004D515A"/>
    <w:rsid w:val="004D5572"/>
    <w:rsid w:val="004E4843"/>
    <w:rsid w:val="004E7824"/>
    <w:rsid w:val="004F425E"/>
    <w:rsid w:val="004F6CAF"/>
    <w:rsid w:val="0050273F"/>
    <w:rsid w:val="00513897"/>
    <w:rsid w:val="0051677F"/>
    <w:rsid w:val="00530C81"/>
    <w:rsid w:val="005753CB"/>
    <w:rsid w:val="005939A5"/>
    <w:rsid w:val="005C43A2"/>
    <w:rsid w:val="005D7B2F"/>
    <w:rsid w:val="005E3D93"/>
    <w:rsid w:val="005E5191"/>
    <w:rsid w:val="005E64FB"/>
    <w:rsid w:val="005F3B18"/>
    <w:rsid w:val="005F5987"/>
    <w:rsid w:val="00600062"/>
    <w:rsid w:val="00602EED"/>
    <w:rsid w:val="00625154"/>
    <w:rsid w:val="0064074C"/>
    <w:rsid w:val="006735C0"/>
    <w:rsid w:val="006939D7"/>
    <w:rsid w:val="006B046D"/>
    <w:rsid w:val="006B0D64"/>
    <w:rsid w:val="006B1A08"/>
    <w:rsid w:val="006D4E75"/>
    <w:rsid w:val="006F26FF"/>
    <w:rsid w:val="006F523F"/>
    <w:rsid w:val="0070169C"/>
    <w:rsid w:val="00722F0D"/>
    <w:rsid w:val="00731FC7"/>
    <w:rsid w:val="00740E64"/>
    <w:rsid w:val="00754F6E"/>
    <w:rsid w:val="0076435F"/>
    <w:rsid w:val="007A4101"/>
    <w:rsid w:val="007A53E9"/>
    <w:rsid w:val="007B12F5"/>
    <w:rsid w:val="007C376B"/>
    <w:rsid w:val="007F4C81"/>
    <w:rsid w:val="007F5F2D"/>
    <w:rsid w:val="008232A9"/>
    <w:rsid w:val="00824F16"/>
    <w:rsid w:val="00882FC3"/>
    <w:rsid w:val="00891E2C"/>
    <w:rsid w:val="00896ADB"/>
    <w:rsid w:val="008B55E4"/>
    <w:rsid w:val="008F7DB2"/>
    <w:rsid w:val="00913212"/>
    <w:rsid w:val="00940323"/>
    <w:rsid w:val="009404F8"/>
    <w:rsid w:val="009A20D4"/>
    <w:rsid w:val="009A2744"/>
    <w:rsid w:val="009A7BB8"/>
    <w:rsid w:val="009B40B6"/>
    <w:rsid w:val="009B5E42"/>
    <w:rsid w:val="009C20BC"/>
    <w:rsid w:val="009D31A4"/>
    <w:rsid w:val="009E6CFA"/>
    <w:rsid w:val="009F2584"/>
    <w:rsid w:val="00A10337"/>
    <w:rsid w:val="00A54A37"/>
    <w:rsid w:val="00A70448"/>
    <w:rsid w:val="00A7441B"/>
    <w:rsid w:val="00A95CDE"/>
    <w:rsid w:val="00AA19F3"/>
    <w:rsid w:val="00AB1E0B"/>
    <w:rsid w:val="00AC28EE"/>
    <w:rsid w:val="00AC3F0E"/>
    <w:rsid w:val="00B2783F"/>
    <w:rsid w:val="00B36E61"/>
    <w:rsid w:val="00B409FF"/>
    <w:rsid w:val="00B4133E"/>
    <w:rsid w:val="00B528C4"/>
    <w:rsid w:val="00B54DE8"/>
    <w:rsid w:val="00B63E9E"/>
    <w:rsid w:val="00B81C2C"/>
    <w:rsid w:val="00B8629C"/>
    <w:rsid w:val="00B944FA"/>
    <w:rsid w:val="00BC0439"/>
    <w:rsid w:val="00BD34F7"/>
    <w:rsid w:val="00BD5AAD"/>
    <w:rsid w:val="00BE55E4"/>
    <w:rsid w:val="00C02DFE"/>
    <w:rsid w:val="00C04C21"/>
    <w:rsid w:val="00C14F9F"/>
    <w:rsid w:val="00C20977"/>
    <w:rsid w:val="00C43048"/>
    <w:rsid w:val="00C45BEC"/>
    <w:rsid w:val="00C47D75"/>
    <w:rsid w:val="00C50E68"/>
    <w:rsid w:val="00C63C07"/>
    <w:rsid w:val="00C7436A"/>
    <w:rsid w:val="00C7618E"/>
    <w:rsid w:val="00C96DE9"/>
    <w:rsid w:val="00CA0F14"/>
    <w:rsid w:val="00CA536B"/>
    <w:rsid w:val="00CB0D1E"/>
    <w:rsid w:val="00CC4C08"/>
    <w:rsid w:val="00CD6E49"/>
    <w:rsid w:val="00CD794A"/>
    <w:rsid w:val="00D2107B"/>
    <w:rsid w:val="00D4053B"/>
    <w:rsid w:val="00D967DE"/>
    <w:rsid w:val="00DA4FC3"/>
    <w:rsid w:val="00DB612B"/>
    <w:rsid w:val="00DC2A37"/>
    <w:rsid w:val="00DE7E66"/>
    <w:rsid w:val="00DF1FDA"/>
    <w:rsid w:val="00E009DC"/>
    <w:rsid w:val="00E02563"/>
    <w:rsid w:val="00E07782"/>
    <w:rsid w:val="00E35454"/>
    <w:rsid w:val="00E47711"/>
    <w:rsid w:val="00E70EA3"/>
    <w:rsid w:val="00E83160"/>
    <w:rsid w:val="00EA2E3F"/>
    <w:rsid w:val="00EC6186"/>
    <w:rsid w:val="00F02F4E"/>
    <w:rsid w:val="00F0336A"/>
    <w:rsid w:val="00F06DA9"/>
    <w:rsid w:val="00F103D6"/>
    <w:rsid w:val="00F11F79"/>
    <w:rsid w:val="00F1369E"/>
    <w:rsid w:val="00F25220"/>
    <w:rsid w:val="00F2738A"/>
    <w:rsid w:val="00F36902"/>
    <w:rsid w:val="00FA2884"/>
    <w:rsid w:val="00FB061C"/>
    <w:rsid w:val="00FC03DC"/>
    <w:rsid w:val="00FC2A0A"/>
    <w:rsid w:val="00FC5708"/>
    <w:rsid w:val="00FE0D4D"/>
    <w:rsid w:val="00FE3277"/>
    <w:rsid w:val="09201287"/>
    <w:rsid w:val="0FC80124"/>
    <w:rsid w:val="136F98C7"/>
    <w:rsid w:val="17427E68"/>
    <w:rsid w:val="1755065F"/>
    <w:rsid w:val="1AFC29C9"/>
    <w:rsid w:val="1CA52F2E"/>
    <w:rsid w:val="1DFE370B"/>
    <w:rsid w:val="1E3630B9"/>
    <w:rsid w:val="204A38C9"/>
    <w:rsid w:val="26EEC2B5"/>
    <w:rsid w:val="29472309"/>
    <w:rsid w:val="2B406E77"/>
    <w:rsid w:val="2C2A0C43"/>
    <w:rsid w:val="2D1E73A5"/>
    <w:rsid w:val="2E4F5263"/>
    <w:rsid w:val="32717154"/>
    <w:rsid w:val="34B63260"/>
    <w:rsid w:val="37FDA7E2"/>
    <w:rsid w:val="3A314D88"/>
    <w:rsid w:val="3A746883"/>
    <w:rsid w:val="3CA15DE9"/>
    <w:rsid w:val="3FE61EE5"/>
    <w:rsid w:val="406508EE"/>
    <w:rsid w:val="408D6263"/>
    <w:rsid w:val="41B40CEE"/>
    <w:rsid w:val="48317291"/>
    <w:rsid w:val="485F7024"/>
    <w:rsid w:val="48E70666"/>
    <w:rsid w:val="4C6877E5"/>
    <w:rsid w:val="4D6A468D"/>
    <w:rsid w:val="4EA86137"/>
    <w:rsid w:val="56CA7FD0"/>
    <w:rsid w:val="57FA38D1"/>
    <w:rsid w:val="5ACD2D08"/>
    <w:rsid w:val="5F7D3333"/>
    <w:rsid w:val="61385890"/>
    <w:rsid w:val="687436E1"/>
    <w:rsid w:val="6D7E1DC5"/>
    <w:rsid w:val="6DA45C50"/>
    <w:rsid w:val="6E9A7825"/>
    <w:rsid w:val="6F670F9B"/>
    <w:rsid w:val="737450E0"/>
    <w:rsid w:val="74054476"/>
    <w:rsid w:val="742F38C4"/>
    <w:rsid w:val="74AB66DC"/>
    <w:rsid w:val="74C4154C"/>
    <w:rsid w:val="75956FFF"/>
    <w:rsid w:val="77AA2D01"/>
    <w:rsid w:val="7CDE1DBD"/>
    <w:rsid w:val="7D943A85"/>
    <w:rsid w:val="7DB0448C"/>
    <w:rsid w:val="7E5F9AA4"/>
    <w:rsid w:val="8FFC8888"/>
    <w:rsid w:val="A7F73C99"/>
    <w:rsid w:val="BFFE3BF4"/>
    <w:rsid w:val="DFEBDA37"/>
    <w:rsid w:val="EF6FCA1D"/>
    <w:rsid w:val="EFFF57D6"/>
    <w:rsid w:val="FD33A2D0"/>
    <w:rsid w:val="FF7FA20F"/>
    <w:rsid w:val="FFFE81A3"/>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qFormat/>
    <w:uiPriority w:val="0"/>
    <w:rPr>
      <w:b/>
      <w:bCs/>
    </w:rPr>
  </w:style>
  <w:style w:type="character" w:styleId="9">
    <w:name w:val="page number"/>
    <w:qFormat/>
    <w:uiPriority w:val="0"/>
  </w:style>
  <w:style w:type="character" w:styleId="10">
    <w:name w:val="annotation reference"/>
    <w:qFormat/>
    <w:uiPriority w:val="0"/>
    <w:rPr>
      <w:sz w:val="21"/>
      <w:szCs w:val="21"/>
    </w:rPr>
  </w:style>
  <w:style w:type="character" w:customStyle="1" w:styleId="11">
    <w:name w:val="批注文字 Char"/>
    <w:link w:val="2"/>
    <w:qFormat/>
    <w:uiPriority w:val="0"/>
    <w:rPr>
      <w:kern w:val="2"/>
      <w:sz w:val="21"/>
      <w:szCs w:val="24"/>
    </w:rPr>
  </w:style>
  <w:style w:type="character" w:customStyle="1" w:styleId="12">
    <w:name w:val="批注框文本 Char"/>
    <w:link w:val="3"/>
    <w:qFormat/>
    <w:uiPriority w:val="0"/>
    <w:rPr>
      <w:kern w:val="2"/>
      <w:sz w:val="18"/>
      <w:szCs w:val="18"/>
    </w:rPr>
  </w:style>
  <w:style w:type="character" w:customStyle="1" w:styleId="13">
    <w:name w:val="页眉 Char"/>
    <w:link w:val="5"/>
    <w:qFormat/>
    <w:uiPriority w:val="0"/>
    <w:rPr>
      <w:kern w:val="2"/>
      <w:sz w:val="18"/>
      <w:szCs w:val="18"/>
    </w:rPr>
  </w:style>
  <w:style w:type="character" w:customStyle="1" w:styleId="14">
    <w:name w:val="批注主题 Char"/>
    <w:link w:val="6"/>
    <w:qFormat/>
    <w:uiPriority w:val="0"/>
    <w:rPr>
      <w:b/>
      <w:bCs/>
      <w:kern w:val="2"/>
      <w:sz w:val="21"/>
      <w:szCs w:val="24"/>
    </w:rPr>
  </w:style>
  <w:style w:type="paragraph" w:customStyle="1" w:styleId="15">
    <w:name w:val="WPSOffice手动目录 1"/>
    <w:qFormat/>
    <w:uiPriority w:val="0"/>
    <w:rPr>
      <w:rFonts w:ascii="Times New Roman" w:hAnsi="Times New Roman" w:eastAsia="宋体" w:cs="Times New Roman"/>
      <w:lang w:val="en-US" w:eastAsia="zh-CN" w:bidi="ar-SA"/>
    </w:rPr>
  </w:style>
  <w:style w:type="paragraph" w:customStyle="1" w:styleId="16">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7">
    <w:name w:val="正文1 Char Char Char"/>
    <w:basedOn w:val="1"/>
    <w:qFormat/>
    <w:uiPriority w:val="0"/>
    <w:pPr>
      <w:spacing w:line="360" w:lineRule="auto"/>
      <w:ind w:firstLine="200" w:firstLineChars="200"/>
    </w:pPr>
  </w:style>
  <w:style w:type="paragraph" w:customStyle="1" w:styleId="18">
    <w:name w:val="正文-公1"/>
    <w:basedOn w:val="1"/>
    <w:next w:val="1"/>
    <w:qFormat/>
    <w:uiPriority w:val="0"/>
    <w:pPr>
      <w:ind w:firstLine="200" w:firstLineChars="200"/>
    </w:pPr>
    <w:rPr>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6097</Words>
  <Characters>6784</Characters>
  <Lines>53</Lines>
  <Paragraphs>15</Paragraphs>
  <TotalTime>2189</TotalTime>
  <ScaleCrop>false</ScaleCrop>
  <LinksUpToDate>false</LinksUpToDate>
  <CharactersWithSpaces>6835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2024-07-24T03:26:00Z</dcterms:created>
  <dc:creator>uos</dc:creator>
  <cp:lastModifiedBy>བོད་པའི་བུ་མོ་</cp:lastModifiedBy>
  <cp:lastPrinted>2026-07-30T11:48:00Z</cp:lastPrinted>
  <dcterms:modified xsi:type="dcterms:W3CDTF">2026-07-31T08:12:01Z</dcterms:modified>
  <cp:revision>148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EDEE2AEA67894A1590C4C73EE8915601_13</vt:lpwstr>
  </property>
  <property fmtid="{D5CDD505-2E9C-101B-9397-08002B2CF9AE}" pid="4" name="KSOTemplateDocerSaveRecord">
    <vt:lpwstr>eyJoZGlkIjoiZWNmYWQ5N2Y5YjZhZmUxNTNlMmQwMzFiZjNmOTRjZTciLCJ1c2VySWQiOiIzNDEwMTg0MzAifQ==</vt:lpwstr>
  </property>
</Properties>
</file>