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FA8DF">
      <w:pPr>
        <w:pStyle w:val="2"/>
        <w:keepNext/>
        <w:keepLines/>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color w:val="000000" w:themeColor="text1"/>
          <w:lang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lang w:val="en-US" w:eastAsia="zh-CN"/>
          <w14:textFill>
            <w14:solidFill>
              <w14:schemeClr w14:val="tx1"/>
            </w14:solidFill>
          </w14:textFill>
        </w:rPr>
        <w:t>那曲市双湖县</w:t>
      </w:r>
      <w:r>
        <w:rPr>
          <w:rFonts w:hint="eastAsia" w:ascii="方正小标宋简体" w:hAnsi="方正小标宋简体" w:eastAsia="方正小标宋简体" w:cs="方正小标宋简体"/>
          <w:b w:val="0"/>
          <w:bCs/>
          <w:color w:val="000000" w:themeColor="text1"/>
          <w:lang w:eastAsia="zh-CN"/>
          <w14:textFill>
            <w14:solidFill>
              <w14:schemeClr w14:val="tx1"/>
            </w14:solidFill>
          </w14:textFill>
        </w:rPr>
        <w:t>人民检察院</w:t>
      </w:r>
    </w:p>
    <w:p w14:paraId="4B60B5D7">
      <w:pPr>
        <w:pStyle w:val="2"/>
        <w:keepNext/>
        <w:keepLines/>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000000" w:themeColor="text1"/>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14:textFill>
            <w14:solidFill>
              <w14:schemeClr w14:val="tx1"/>
            </w14:solidFill>
          </w14:textFill>
        </w:rPr>
        <w:t>202</w:t>
      </w:r>
      <w:r>
        <w:rPr>
          <w:rFonts w:hint="eastAsia" w:ascii="方正小标宋简体" w:hAnsi="方正小标宋简体" w:eastAsia="方正小标宋简体" w:cs="方正小标宋简体"/>
          <w:b w:val="0"/>
          <w:bCs/>
          <w:color w:val="000000" w:themeColor="text1"/>
          <w:lang w:val="en-US" w:eastAsia="zh-CN"/>
          <w14:textFill>
            <w14:solidFill>
              <w14:schemeClr w14:val="tx1"/>
            </w14:solidFill>
          </w14:textFill>
        </w:rPr>
        <w:t>6</w:t>
      </w:r>
      <w:r>
        <w:rPr>
          <w:rFonts w:hint="eastAsia" w:ascii="方正小标宋简体" w:hAnsi="方正小标宋简体" w:eastAsia="方正小标宋简体" w:cs="方正小标宋简体"/>
          <w:b w:val="0"/>
          <w:bCs/>
          <w:color w:val="000000" w:themeColor="text1"/>
          <w14:textFill>
            <w14:solidFill>
              <w14:schemeClr w14:val="tx1"/>
            </w14:solidFill>
          </w14:textFill>
        </w:rPr>
        <w:t>年度部门预算</w:t>
      </w:r>
      <w:r>
        <w:rPr>
          <w:rFonts w:hint="eastAsia" w:ascii="方正小标宋简体" w:hAnsi="方正小标宋简体" w:eastAsia="方正小标宋简体" w:cs="方正小标宋简体"/>
          <w:b w:val="0"/>
          <w:bCs/>
          <w:color w:val="000000" w:themeColor="text1"/>
          <w:lang w:val="en-US" w:eastAsia="zh-CN"/>
          <w14:textFill>
            <w14:solidFill>
              <w14:schemeClr w14:val="tx1"/>
            </w14:solidFill>
          </w14:textFill>
        </w:rPr>
        <w:t>公开</w:t>
      </w:r>
    </w:p>
    <w:p w14:paraId="2DAC7413">
      <w:pPr>
        <w:pStyle w:val="2"/>
        <w:bidi w:val="0"/>
        <w:rPr>
          <w:rFonts w:hint="default"/>
          <w:color w:val="000000" w:themeColor="text1"/>
          <w14:textFill>
            <w14:solidFill>
              <w14:schemeClr w14:val="tx1"/>
            </w14:solidFill>
          </w14:textFill>
        </w:rPr>
      </w:pPr>
    </w:p>
    <w:p w14:paraId="720074CA">
      <w:pPr>
        <w:spacing w:line="560" w:lineRule="auto"/>
        <w:rPr>
          <w:rFonts w:hint="default" w:ascii="Times New Roman" w:hAnsi="Times New Roman" w:cs="Times New Roman"/>
          <w:color w:val="000000" w:themeColor="text1"/>
          <w:sz w:val="44"/>
          <w:szCs w:val="44"/>
          <w14:textFill>
            <w14:solidFill>
              <w14:schemeClr w14:val="tx1"/>
            </w14:solidFill>
          </w14:textFill>
        </w:rPr>
      </w:pPr>
    </w:p>
    <w:p w14:paraId="16C4BA3F">
      <w:pPr>
        <w:spacing w:line="560" w:lineRule="auto"/>
        <w:rPr>
          <w:rFonts w:hint="default" w:ascii="Times New Roman" w:hAnsi="Times New Roman" w:cs="Times New Roman"/>
          <w:color w:val="000000" w:themeColor="text1"/>
          <w:sz w:val="44"/>
          <w:szCs w:val="44"/>
          <w14:textFill>
            <w14:solidFill>
              <w14:schemeClr w14:val="tx1"/>
            </w14:solidFill>
          </w14:textFill>
        </w:rPr>
      </w:pPr>
    </w:p>
    <w:p w14:paraId="0A795E8B">
      <w:pPr>
        <w:spacing w:line="560" w:lineRule="auto"/>
        <w:rPr>
          <w:rFonts w:hint="default" w:ascii="Times New Roman" w:hAnsi="Times New Roman" w:cs="Times New Roman"/>
          <w:color w:val="000000" w:themeColor="text1"/>
          <w:sz w:val="44"/>
          <w:szCs w:val="44"/>
          <w14:textFill>
            <w14:solidFill>
              <w14:schemeClr w14:val="tx1"/>
            </w14:solidFill>
          </w14:textFill>
        </w:rPr>
      </w:pPr>
    </w:p>
    <w:p w14:paraId="5252AC1E">
      <w:pPr>
        <w:spacing w:line="560" w:lineRule="auto"/>
        <w:rPr>
          <w:rFonts w:hint="default" w:ascii="Times New Roman" w:hAnsi="Times New Roman" w:cs="Times New Roman"/>
          <w:color w:val="000000" w:themeColor="text1"/>
          <w:sz w:val="44"/>
          <w:szCs w:val="44"/>
          <w14:textFill>
            <w14:solidFill>
              <w14:schemeClr w14:val="tx1"/>
            </w14:solidFill>
          </w14:textFill>
        </w:rPr>
      </w:pPr>
    </w:p>
    <w:p w14:paraId="58B0F360">
      <w:pPr>
        <w:spacing w:line="560" w:lineRule="auto"/>
        <w:rPr>
          <w:rFonts w:hint="default" w:ascii="Times New Roman" w:hAnsi="Times New Roman" w:cs="Times New Roman"/>
          <w:color w:val="000000" w:themeColor="text1"/>
          <w:sz w:val="44"/>
          <w:szCs w:val="44"/>
          <w14:textFill>
            <w14:solidFill>
              <w14:schemeClr w14:val="tx1"/>
            </w14:solidFill>
          </w14:textFill>
        </w:rPr>
      </w:pPr>
    </w:p>
    <w:p w14:paraId="180A313F">
      <w:pPr>
        <w:spacing w:line="560" w:lineRule="auto"/>
        <w:rPr>
          <w:rFonts w:hint="default" w:ascii="Times New Roman" w:hAnsi="Times New Roman" w:cs="Times New Roman"/>
          <w:color w:val="000000" w:themeColor="text1"/>
          <w:sz w:val="44"/>
          <w:szCs w:val="44"/>
          <w14:textFill>
            <w14:solidFill>
              <w14:schemeClr w14:val="tx1"/>
            </w14:solidFill>
          </w14:textFill>
        </w:rPr>
      </w:pPr>
    </w:p>
    <w:p w14:paraId="2B102339">
      <w:pPr>
        <w:spacing w:line="560" w:lineRule="auto"/>
        <w:rPr>
          <w:rFonts w:hint="default" w:ascii="Times New Roman" w:hAnsi="Times New Roman" w:cs="Times New Roman"/>
          <w:color w:val="000000" w:themeColor="text1"/>
          <w:sz w:val="44"/>
          <w:szCs w:val="44"/>
          <w14:textFill>
            <w14:solidFill>
              <w14:schemeClr w14:val="tx1"/>
            </w14:solidFill>
          </w14:textFill>
        </w:rPr>
      </w:pPr>
    </w:p>
    <w:p w14:paraId="1A753331">
      <w:pPr>
        <w:spacing w:line="560" w:lineRule="auto"/>
        <w:rPr>
          <w:rFonts w:hint="default" w:ascii="Times New Roman" w:hAnsi="Times New Roman" w:cs="Times New Roman"/>
          <w:color w:val="000000" w:themeColor="text1"/>
          <w:sz w:val="44"/>
          <w:szCs w:val="44"/>
          <w14:textFill>
            <w14:solidFill>
              <w14:schemeClr w14:val="tx1"/>
            </w14:solidFill>
          </w14:textFill>
        </w:rPr>
      </w:pPr>
    </w:p>
    <w:p w14:paraId="2D739608">
      <w:pPr>
        <w:spacing w:line="560" w:lineRule="auto"/>
        <w:rPr>
          <w:rFonts w:hint="default" w:ascii="Times New Roman" w:hAnsi="Times New Roman" w:cs="Times New Roman"/>
          <w:color w:val="000000" w:themeColor="text1"/>
          <w:sz w:val="44"/>
          <w:szCs w:val="44"/>
          <w14:textFill>
            <w14:solidFill>
              <w14:schemeClr w14:val="tx1"/>
            </w14:solidFill>
          </w14:textFill>
        </w:rPr>
      </w:pPr>
    </w:p>
    <w:p w14:paraId="6778F0C8">
      <w:pPr>
        <w:spacing w:line="560" w:lineRule="auto"/>
        <w:rPr>
          <w:rFonts w:hint="default" w:ascii="Times New Roman" w:hAnsi="Times New Roman" w:cs="Times New Roman"/>
          <w:color w:val="000000" w:themeColor="text1"/>
          <w:sz w:val="44"/>
          <w:szCs w:val="44"/>
          <w14:textFill>
            <w14:solidFill>
              <w14:schemeClr w14:val="tx1"/>
            </w14:solidFill>
          </w14:textFill>
        </w:rPr>
      </w:pPr>
    </w:p>
    <w:p w14:paraId="12DA33B1">
      <w:pPr>
        <w:spacing w:line="560" w:lineRule="auto"/>
        <w:ind w:firstLine="960" w:firstLineChars="300"/>
        <w:jc w:val="center"/>
        <w:rPr>
          <w:rFonts w:hint="default" w:ascii="Times New Roman" w:hAnsi="Times New Roman" w:cs="Times New Roman"/>
          <w:color w:val="000000" w:themeColor="text1"/>
          <w:sz w:val="32"/>
          <w:szCs w:val="32"/>
          <w:u w:val="single"/>
          <w14:textFill>
            <w14:solidFill>
              <w14:schemeClr w14:val="tx1"/>
            </w14:solidFill>
          </w14:textFill>
        </w:rPr>
      </w:pPr>
    </w:p>
    <w:p w14:paraId="6E81D69C">
      <w:pPr>
        <w:keepNext w:val="0"/>
        <w:keepLines w:val="0"/>
        <w:widowControl w:val="0"/>
        <w:suppressLineNumbers w:val="0"/>
        <w:spacing w:before="0" w:beforeAutospacing="0" w:after="0" w:afterAutospacing="0"/>
        <w:ind w:left="227" w:right="0" w:firstLine="1920" w:firstLineChars="600"/>
        <w:jc w:val="both"/>
        <w:rPr>
          <w:rFonts w:hint="default" w:ascii="Times New Roman" w:hAnsi="Times New Roman" w:cs="Times New Roman"/>
          <w:color w:val="000000" w:themeColor="text1"/>
          <w:sz w:val="32"/>
          <w:szCs w:val="32"/>
          <w:u w:val="single"/>
          <w14:textFill>
            <w14:solidFill>
              <w14:schemeClr w14:val="tx1"/>
            </w14:solidFill>
          </w14:textFill>
        </w:rPr>
      </w:pPr>
    </w:p>
    <w:p w14:paraId="0D5F677F">
      <w:pPr>
        <w:keepNext w:val="0"/>
        <w:keepLines w:val="0"/>
        <w:widowControl w:val="0"/>
        <w:suppressLineNumbers w:val="0"/>
        <w:spacing w:before="0" w:beforeAutospacing="0" w:after="0" w:afterAutospacing="0"/>
        <w:ind w:right="0"/>
        <w:jc w:val="center"/>
        <w:rPr>
          <w:rFonts w:hint="eastAsia" w:ascii="微软雅黑" w:hAnsi="微软雅黑" w:eastAsia="微软雅黑" w:cs="微软雅黑"/>
          <w:i w:val="0"/>
          <w:iCs w:val="0"/>
          <w:caps w:val="0"/>
          <w:color w:val="000000" w:themeColor="text1"/>
          <w:spacing w:val="0"/>
          <w:sz w:val="19"/>
          <w:szCs w:val="19"/>
          <w:shd w:val="clear" w:fill="FFFFFF"/>
          <w14:textFill>
            <w14:solidFill>
              <w14:schemeClr w14:val="tx1"/>
            </w14:solidFill>
          </w14:textFill>
        </w:rPr>
      </w:pPr>
      <w:r>
        <w:rPr>
          <w:rFonts w:hint="default" w:ascii="Times New Roman" w:hAnsi="Times New Roman" w:cs="Times New Roman"/>
          <w:color w:val="000000" w:themeColor="text1"/>
          <w:sz w:val="32"/>
          <w:szCs w:val="32"/>
          <w:u w:val="single"/>
          <w14:textFill>
            <w14:solidFill>
              <w14:schemeClr w14:val="tx1"/>
            </w14:solidFill>
          </w14:textFill>
        </w:rPr>
        <w:t>202</w:t>
      </w:r>
      <w:r>
        <w:rPr>
          <w:rFonts w:hint="eastAsia" w:cs="Times New Roman"/>
          <w:color w:val="000000" w:themeColor="text1"/>
          <w:sz w:val="32"/>
          <w:szCs w:val="32"/>
          <w:u w:val="single"/>
          <w:lang w:val="en-US" w:eastAsia="zh-CN"/>
          <w14:textFill>
            <w14:solidFill>
              <w14:schemeClr w14:val="tx1"/>
            </w14:solidFill>
          </w14:textFill>
        </w:rPr>
        <w:t>6</w:t>
      </w:r>
      <w:r>
        <w:rPr>
          <w:rFonts w:hint="default" w:ascii="Times New Roman" w:hAnsi="Times New Roman" w:cs="Times New Roman"/>
          <w:color w:val="000000" w:themeColor="text1"/>
          <w:sz w:val="32"/>
          <w:szCs w:val="32"/>
          <w14:textFill>
            <w14:solidFill>
              <w14:schemeClr w14:val="tx1"/>
            </w14:solidFill>
          </w14:textFill>
        </w:rPr>
        <w:t>年</w:t>
      </w:r>
      <w:r>
        <w:rPr>
          <w:rFonts w:hint="default" w:ascii="Times New Roman" w:hAnsi="Times New Roman" w:cs="Times New Roman"/>
          <w:color w:val="000000" w:themeColor="text1"/>
          <w:sz w:val="32"/>
          <w:szCs w:val="32"/>
          <w:u w:val="single"/>
          <w14:textFill>
            <w14:solidFill>
              <w14:schemeClr w14:val="tx1"/>
            </w14:solidFill>
          </w14:textFill>
        </w:rPr>
        <w:t>0</w:t>
      </w:r>
      <w:r>
        <w:rPr>
          <w:rFonts w:hint="eastAsia" w:cs="Times New Roman"/>
          <w:color w:val="000000" w:themeColor="text1"/>
          <w:sz w:val="32"/>
          <w:szCs w:val="32"/>
          <w:u w:val="single"/>
          <w:lang w:val="en-US" w:eastAsia="zh-CN"/>
          <w14:textFill>
            <w14:solidFill>
              <w14:schemeClr w14:val="tx1"/>
            </w14:solidFill>
          </w14:textFill>
        </w:rPr>
        <w:t>2</w:t>
      </w:r>
      <w:r>
        <w:rPr>
          <w:rFonts w:hint="default" w:ascii="Times New Roman" w:hAnsi="Times New Roman" w:cs="Times New Roman"/>
          <w:color w:val="000000" w:themeColor="text1"/>
          <w:sz w:val="32"/>
          <w:szCs w:val="32"/>
          <w14:textFill>
            <w14:solidFill>
              <w14:schemeClr w14:val="tx1"/>
            </w14:solidFill>
          </w14:textFill>
        </w:rPr>
        <w:t>月</w:t>
      </w:r>
      <w:r>
        <w:rPr>
          <w:rFonts w:hint="eastAsia" w:cs="Times New Roman"/>
          <w:color w:val="000000" w:themeColor="text1"/>
          <w:sz w:val="32"/>
          <w:szCs w:val="32"/>
          <w:lang w:val="en-US" w:eastAsia="zh-CN"/>
          <w14:textFill>
            <w14:solidFill>
              <w14:schemeClr w14:val="tx1"/>
            </w14:solidFill>
          </w14:textFill>
        </w:rPr>
        <w:t>01</w:t>
      </w:r>
      <w:r>
        <w:rPr>
          <w:rFonts w:hint="default" w:ascii="Times New Roman" w:hAnsi="Times New Roman" w:cs="Times New Roman"/>
          <w:color w:val="000000" w:themeColor="text1"/>
          <w:sz w:val="32"/>
          <w:szCs w:val="32"/>
          <w14:textFill>
            <w14:solidFill>
              <w14:schemeClr w14:val="tx1"/>
            </w14:solidFill>
          </w14:textFill>
        </w:rPr>
        <w:t>日</w:t>
      </w:r>
    </w:p>
    <w:p w14:paraId="6A70434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center"/>
        <w:rPr>
          <w:rFonts w:hint="eastAsia" w:ascii="方正小标宋简体" w:hAnsi="仿宋" w:eastAsia="方正小标宋简体"/>
          <w:color w:val="000000" w:themeColor="text1"/>
          <w:sz w:val="44"/>
          <w:szCs w:val="44"/>
          <w14:textFill>
            <w14:solidFill>
              <w14:schemeClr w14:val="tx1"/>
            </w14:solidFill>
          </w14:textFill>
        </w:rPr>
      </w:pPr>
      <w:r>
        <w:rPr>
          <w:rFonts w:hint="eastAsia" w:ascii="方正小标宋简体" w:hAnsi="仿宋" w:eastAsia="方正小标宋简体"/>
          <w:color w:val="000000" w:themeColor="text1"/>
          <w:sz w:val="44"/>
          <w:szCs w:val="44"/>
          <w14:textFill>
            <w14:solidFill>
              <w14:schemeClr w14:val="tx1"/>
            </w14:solidFill>
          </w14:textFill>
        </w:rPr>
        <w:t>目  录</w:t>
      </w:r>
    </w:p>
    <w:p w14:paraId="14F11A99">
      <w:pPr>
        <w:rPr>
          <w:rFonts w:ascii="方正小标宋简体" w:hAnsi="仿宋" w:eastAsia="方正小标宋简体"/>
          <w:color w:val="000000" w:themeColor="text1"/>
          <w:sz w:val="28"/>
          <w:szCs w:val="28"/>
          <w14:textFill>
            <w14:solidFill>
              <w14:schemeClr w14:val="tx1"/>
            </w14:solidFill>
          </w14:textFill>
        </w:rPr>
      </w:pPr>
      <w:r>
        <w:rPr>
          <w:rFonts w:hint="eastAsia" w:ascii="方正小标宋简体" w:hAnsi="仿宋" w:eastAsia="方正小标宋简体"/>
          <w:color w:val="000000" w:themeColor="text1"/>
          <w:sz w:val="28"/>
          <w:szCs w:val="28"/>
          <w14:textFill>
            <w14:solidFill>
              <w14:schemeClr w14:val="tx1"/>
            </w14:solidFill>
          </w14:textFill>
        </w:rPr>
        <w:t xml:space="preserve">第一部分 </w:t>
      </w:r>
      <w:r>
        <w:rPr>
          <w:rFonts w:hint="eastAsia" w:ascii="方正小标宋简体" w:hAnsi="仿宋" w:eastAsia="方正小标宋简体"/>
          <w:color w:val="000000" w:themeColor="text1"/>
          <w:sz w:val="28"/>
          <w:szCs w:val="28"/>
          <w:lang w:eastAsia="zh-CN"/>
          <w14:textFill>
            <w14:solidFill>
              <w14:schemeClr w14:val="tx1"/>
            </w14:solidFill>
          </w14:textFill>
        </w:rPr>
        <w:t>那曲市</w:t>
      </w:r>
      <w:r>
        <w:rPr>
          <w:rFonts w:hint="eastAsia" w:ascii="方正小标宋简体" w:hAnsi="仿宋" w:eastAsia="方正小标宋简体"/>
          <w:color w:val="000000" w:themeColor="text1"/>
          <w:sz w:val="28"/>
          <w:szCs w:val="28"/>
          <w:lang w:val="en" w:eastAsia="zh-CN"/>
          <w14:textFill>
            <w14:solidFill>
              <w14:schemeClr w14:val="tx1"/>
            </w14:solidFill>
          </w14:textFill>
        </w:rPr>
        <w:t>双湖县</w:t>
      </w:r>
      <w:r>
        <w:rPr>
          <w:rFonts w:hint="eastAsia" w:ascii="方正小标宋简体" w:hAnsi="仿宋" w:eastAsia="方正小标宋简体"/>
          <w:color w:val="000000" w:themeColor="text1"/>
          <w:sz w:val="28"/>
          <w:szCs w:val="28"/>
          <w:lang w:val="en-US" w:eastAsia="zh-CN"/>
          <w14:textFill>
            <w14:solidFill>
              <w14:schemeClr w14:val="tx1"/>
            </w14:solidFill>
          </w14:textFill>
        </w:rPr>
        <w:t>人民检察院</w:t>
      </w:r>
      <w:r>
        <w:rPr>
          <w:rFonts w:hint="eastAsia" w:ascii="方正小标宋简体" w:hAnsi="仿宋" w:eastAsia="方正小标宋简体"/>
          <w:color w:val="000000" w:themeColor="text1"/>
          <w:sz w:val="28"/>
          <w:szCs w:val="28"/>
          <w14:textFill>
            <w14:solidFill>
              <w14:schemeClr w14:val="tx1"/>
            </w14:solidFill>
          </w14:textFill>
        </w:rPr>
        <w:t>概况</w:t>
      </w:r>
    </w:p>
    <w:p w14:paraId="06E49811">
      <w:pPr>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一、部门预算单位构成</w:t>
      </w:r>
    </w:p>
    <w:p w14:paraId="6D7EB390">
      <w:pPr>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二、主要职能</w:t>
      </w:r>
    </w:p>
    <w:p w14:paraId="6AC07EB3">
      <w:pPr>
        <w:rPr>
          <w:rFonts w:ascii="方正小标宋简体" w:hAnsi="仿宋" w:eastAsia="方正小标宋简体"/>
          <w:color w:val="000000" w:themeColor="text1"/>
          <w:sz w:val="28"/>
          <w:szCs w:val="28"/>
          <w14:textFill>
            <w14:solidFill>
              <w14:schemeClr w14:val="tx1"/>
            </w14:solidFill>
          </w14:textFill>
        </w:rPr>
      </w:pPr>
      <w:r>
        <w:rPr>
          <w:rFonts w:hint="eastAsia" w:ascii="方正小标宋简体" w:hAnsi="仿宋" w:eastAsia="方正小标宋简体"/>
          <w:color w:val="000000" w:themeColor="text1"/>
          <w:sz w:val="28"/>
          <w:szCs w:val="28"/>
          <w14:textFill>
            <w14:solidFill>
              <w14:schemeClr w14:val="tx1"/>
            </w14:solidFill>
          </w14:textFill>
        </w:rPr>
        <w:t xml:space="preserve">第二部分 </w:t>
      </w:r>
      <w:r>
        <w:rPr>
          <w:rFonts w:hint="eastAsia" w:ascii="方正小标宋简体" w:hAnsi="仿宋" w:eastAsia="方正小标宋简体"/>
          <w:color w:val="000000" w:themeColor="text1"/>
          <w:sz w:val="28"/>
          <w:szCs w:val="28"/>
          <w:lang w:eastAsia="zh-CN"/>
          <w14:textFill>
            <w14:solidFill>
              <w14:schemeClr w14:val="tx1"/>
            </w14:solidFill>
          </w14:textFill>
        </w:rPr>
        <w:t>那曲市双湖县</w:t>
      </w:r>
      <w:r>
        <w:rPr>
          <w:rFonts w:hint="eastAsia" w:ascii="方正小标宋简体" w:hAnsi="仿宋" w:eastAsia="方正小标宋简体"/>
          <w:color w:val="000000" w:themeColor="text1"/>
          <w:sz w:val="28"/>
          <w:szCs w:val="28"/>
          <w:lang w:val="en-US" w:eastAsia="zh-CN"/>
          <w14:textFill>
            <w14:solidFill>
              <w14:schemeClr w14:val="tx1"/>
            </w14:solidFill>
          </w14:textFill>
        </w:rPr>
        <w:t>人民检察院</w:t>
      </w:r>
      <w:r>
        <w:rPr>
          <w:rFonts w:hint="eastAsia" w:ascii="方正小标宋简体" w:hAnsi="仿宋" w:eastAsia="方正小标宋简体"/>
          <w:color w:val="000000" w:themeColor="text1"/>
          <w:sz w:val="28"/>
          <w:szCs w:val="28"/>
          <w14:textFill>
            <w14:solidFill>
              <w14:schemeClr w14:val="tx1"/>
            </w14:solidFill>
          </w14:textFill>
        </w:rPr>
        <w:t>20</w:t>
      </w:r>
      <w:bookmarkStart w:id="0" w:name="_GoBack"/>
      <w:bookmarkEnd w:id="0"/>
      <w:r>
        <w:rPr>
          <w:rFonts w:hint="eastAsia" w:ascii="方正小标宋简体" w:hAnsi="仿宋" w:eastAsia="方正小标宋简体"/>
          <w:color w:val="000000" w:themeColor="text1"/>
          <w:sz w:val="28"/>
          <w:szCs w:val="28"/>
          <w14:textFill>
            <w14:solidFill>
              <w14:schemeClr w14:val="tx1"/>
            </w14:solidFill>
          </w14:textFill>
        </w:rPr>
        <w:t>2</w:t>
      </w:r>
      <w:r>
        <w:rPr>
          <w:rFonts w:hint="eastAsia" w:ascii="方正小标宋简体" w:hAnsi="仿宋" w:eastAsia="方正小标宋简体"/>
          <w:color w:val="000000" w:themeColor="text1"/>
          <w:sz w:val="28"/>
          <w:szCs w:val="28"/>
          <w:lang w:val="en-US" w:eastAsia="zh-CN"/>
          <w14:textFill>
            <w14:solidFill>
              <w14:schemeClr w14:val="tx1"/>
            </w14:solidFill>
          </w14:textFill>
        </w:rPr>
        <w:t>6</w:t>
      </w:r>
      <w:r>
        <w:rPr>
          <w:rFonts w:hint="eastAsia" w:ascii="方正小标宋简体" w:hAnsi="仿宋" w:eastAsia="方正小标宋简体"/>
          <w:color w:val="000000" w:themeColor="text1"/>
          <w:sz w:val="28"/>
          <w:szCs w:val="28"/>
          <w14:textFill>
            <w14:solidFill>
              <w14:schemeClr w14:val="tx1"/>
            </w14:solidFill>
          </w14:textFill>
        </w:rPr>
        <w:t>年度部门预算明细表</w:t>
      </w:r>
    </w:p>
    <w:p w14:paraId="3B984B1D">
      <w:pPr>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一、部门收支总体情况表</w:t>
      </w:r>
    </w:p>
    <w:p w14:paraId="1706FE46">
      <w:pPr>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二、部门收入总体情况表</w:t>
      </w:r>
    </w:p>
    <w:p w14:paraId="7376B674">
      <w:pPr>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三、部门支出总体情况表</w:t>
      </w:r>
    </w:p>
    <w:p w14:paraId="1985D0F1">
      <w:pPr>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四、财政拨款收支总体情况表</w:t>
      </w:r>
    </w:p>
    <w:p w14:paraId="739C5777">
      <w:pPr>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五、一般公共预算支出情况表（按功能分类科目）</w:t>
      </w:r>
    </w:p>
    <w:p w14:paraId="27519529">
      <w:pPr>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六、一般公共预算基本支出情况表（按经济分类款级科目）</w:t>
      </w:r>
    </w:p>
    <w:p w14:paraId="0727E304">
      <w:pPr>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七、一般公共预算“三公”经费支出情况表</w:t>
      </w:r>
    </w:p>
    <w:p w14:paraId="1C22C937">
      <w:pPr>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八、政府性基金“三公”经费支出情况表</w:t>
      </w:r>
    </w:p>
    <w:p w14:paraId="7036CECF">
      <w:pPr>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九、政府性基金预算支出情况表</w:t>
      </w:r>
    </w:p>
    <w:p w14:paraId="22E18A7C">
      <w:pPr>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十</w:t>
      </w:r>
      <w:r>
        <w:rPr>
          <w:rFonts w:ascii="黑体" w:hAnsi="黑体" w:eastAsia="黑体"/>
          <w:color w:val="000000" w:themeColor="text1"/>
          <w:sz w:val="28"/>
          <w:szCs w:val="28"/>
          <w14:textFill>
            <w14:solidFill>
              <w14:schemeClr w14:val="tx1"/>
            </w14:solidFill>
          </w14:textFill>
        </w:rPr>
        <w:t>、</w:t>
      </w:r>
      <w:r>
        <w:rPr>
          <w:rFonts w:hint="eastAsia" w:ascii="黑体" w:hAnsi="黑体" w:eastAsia="黑体"/>
          <w:color w:val="000000" w:themeColor="text1"/>
          <w:sz w:val="28"/>
          <w:szCs w:val="28"/>
          <w14:textFill>
            <w14:solidFill>
              <w14:schemeClr w14:val="tx1"/>
            </w14:solidFill>
          </w14:textFill>
        </w:rPr>
        <w:t>政府购买服务预算表</w:t>
      </w:r>
    </w:p>
    <w:p w14:paraId="596B36FD">
      <w:pPr>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十一、项目支出绩效表</w:t>
      </w:r>
    </w:p>
    <w:p w14:paraId="7C4E8CA8">
      <w:pPr>
        <w:rPr>
          <w:rFonts w:ascii="方正小标宋简体" w:hAnsi="仿宋" w:eastAsia="方正小标宋简体"/>
          <w:color w:val="000000" w:themeColor="text1"/>
          <w:sz w:val="28"/>
          <w:szCs w:val="28"/>
          <w14:textFill>
            <w14:solidFill>
              <w14:schemeClr w14:val="tx1"/>
            </w14:solidFill>
          </w14:textFill>
        </w:rPr>
      </w:pPr>
      <w:r>
        <w:rPr>
          <w:rFonts w:hint="eastAsia" w:ascii="方正小标宋简体" w:hAnsi="仿宋" w:eastAsia="方正小标宋简体"/>
          <w:color w:val="000000" w:themeColor="text1"/>
          <w:sz w:val="28"/>
          <w:szCs w:val="28"/>
          <w14:textFill>
            <w14:solidFill>
              <w14:schemeClr w14:val="tx1"/>
            </w14:solidFill>
          </w14:textFill>
        </w:rPr>
        <w:t xml:space="preserve">第三部分  </w:t>
      </w:r>
      <w:r>
        <w:rPr>
          <w:rFonts w:hint="eastAsia" w:ascii="方正小标宋简体" w:hAnsi="仿宋" w:eastAsia="方正小标宋简体"/>
          <w:color w:val="000000" w:themeColor="text1"/>
          <w:sz w:val="28"/>
          <w:szCs w:val="28"/>
          <w:lang w:eastAsia="zh-CN"/>
          <w14:textFill>
            <w14:solidFill>
              <w14:schemeClr w14:val="tx1"/>
            </w14:solidFill>
          </w14:textFill>
        </w:rPr>
        <w:t>那曲市</w:t>
      </w:r>
      <w:r>
        <w:rPr>
          <w:rFonts w:hint="eastAsia" w:ascii="方正小标宋简体" w:hAnsi="仿宋" w:eastAsia="方正小标宋简体"/>
          <w:color w:val="000000" w:themeColor="text1"/>
          <w:sz w:val="28"/>
          <w:szCs w:val="28"/>
          <w:lang w:val="en" w:eastAsia="zh-CN"/>
          <w14:textFill>
            <w14:solidFill>
              <w14:schemeClr w14:val="tx1"/>
            </w14:solidFill>
          </w14:textFill>
        </w:rPr>
        <w:t>双湖县</w:t>
      </w:r>
      <w:r>
        <w:rPr>
          <w:rFonts w:hint="eastAsia" w:ascii="方正小标宋简体" w:hAnsi="仿宋" w:eastAsia="方正小标宋简体"/>
          <w:color w:val="000000" w:themeColor="text1"/>
          <w:sz w:val="28"/>
          <w:szCs w:val="28"/>
          <w:lang w:val="en-US" w:eastAsia="zh-CN"/>
          <w14:textFill>
            <w14:solidFill>
              <w14:schemeClr w14:val="tx1"/>
            </w14:solidFill>
          </w14:textFill>
        </w:rPr>
        <w:t>人民检察院</w:t>
      </w:r>
      <w:r>
        <w:rPr>
          <w:rFonts w:hint="eastAsia" w:ascii="方正小标宋简体" w:hAnsi="仿宋" w:eastAsia="方正小标宋简体"/>
          <w:color w:val="000000" w:themeColor="text1"/>
          <w:sz w:val="28"/>
          <w:szCs w:val="28"/>
          <w14:textFill>
            <w14:solidFill>
              <w14:schemeClr w14:val="tx1"/>
            </w14:solidFill>
          </w14:textFill>
        </w:rPr>
        <w:t>202</w:t>
      </w:r>
      <w:r>
        <w:rPr>
          <w:rFonts w:hint="eastAsia" w:ascii="方正小标宋简体" w:hAnsi="仿宋" w:eastAsia="方正小标宋简体"/>
          <w:color w:val="000000" w:themeColor="text1"/>
          <w:sz w:val="28"/>
          <w:szCs w:val="28"/>
          <w:lang w:val="en-US" w:eastAsia="zh-CN"/>
          <w14:textFill>
            <w14:solidFill>
              <w14:schemeClr w14:val="tx1"/>
            </w14:solidFill>
          </w14:textFill>
        </w:rPr>
        <w:t>6</w:t>
      </w:r>
      <w:r>
        <w:rPr>
          <w:rFonts w:hint="eastAsia" w:ascii="方正小标宋简体" w:hAnsi="仿宋" w:eastAsia="方正小标宋简体"/>
          <w:color w:val="000000" w:themeColor="text1"/>
          <w:sz w:val="28"/>
          <w:szCs w:val="28"/>
          <w14:textFill>
            <w14:solidFill>
              <w14:schemeClr w14:val="tx1"/>
            </w14:solidFill>
          </w14:textFill>
        </w:rPr>
        <w:t>年度部门预算数据分析</w:t>
      </w:r>
    </w:p>
    <w:p w14:paraId="5644184E">
      <w:pPr>
        <w:rPr>
          <w:rFonts w:hint="default" w:ascii="Times New Roman" w:hAnsi="Times New Roman" w:cs="Times New Roman" w:eastAsiaTheme="majorEastAsia"/>
          <w:b/>
          <w:color w:val="000000" w:themeColor="text1"/>
          <w:sz w:val="44"/>
          <w:szCs w:val="44"/>
          <w14:textFill>
            <w14:solidFill>
              <w14:schemeClr w14:val="tx1"/>
            </w14:solidFill>
          </w14:textFill>
        </w:rPr>
      </w:pPr>
      <w:r>
        <w:rPr>
          <w:rFonts w:hint="eastAsia" w:ascii="方正小标宋简体" w:hAnsi="仿宋" w:eastAsia="方正小标宋简体"/>
          <w:color w:val="000000" w:themeColor="text1"/>
          <w:sz w:val="28"/>
          <w:szCs w:val="28"/>
          <w14:textFill>
            <w14:solidFill>
              <w14:schemeClr w14:val="tx1"/>
            </w14:solidFill>
          </w14:textFill>
        </w:rPr>
        <w:t>第四部分  名词解释</w:t>
      </w:r>
    </w:p>
    <w:p w14:paraId="30B0977F">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p>
    <w:p w14:paraId="67891C0D">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第一部分</w:t>
      </w:r>
    </w:p>
    <w:p w14:paraId="6601728F">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那曲市双湖县人民检察院</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概况</w:t>
      </w:r>
    </w:p>
    <w:p w14:paraId="245710A5">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000000" w:themeColor="text1"/>
          <w:sz w:val="32"/>
          <w:szCs w:val="32"/>
          <w:lang w:eastAsia="zh-CN"/>
          <w14:textFill>
            <w14:solidFill>
              <w14:schemeClr w14:val="tx1"/>
            </w14:solidFill>
          </w14:textFill>
        </w:rPr>
      </w:pPr>
    </w:p>
    <w:p w14:paraId="6CF99363">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000000" w:themeColor="text1"/>
          <w:sz w:val="32"/>
          <w:szCs w:val="32"/>
          <w14:textFill>
            <w14:solidFill>
              <w14:schemeClr w14:val="tx1"/>
            </w14:solidFill>
          </w14:textFill>
        </w:rPr>
      </w:pPr>
      <w:r>
        <w:rPr>
          <w:rFonts w:hint="eastAsia" w:ascii="方正黑体简体" w:hAnsi="方正黑体简体" w:eastAsia="方正黑体简体" w:cs="方正黑体简体"/>
          <w:b w:val="0"/>
          <w:bCs w:val="0"/>
          <w:color w:val="000000" w:themeColor="text1"/>
          <w:sz w:val="32"/>
          <w:szCs w:val="32"/>
          <w:lang w:eastAsia="zh-CN"/>
          <w14:textFill>
            <w14:solidFill>
              <w14:schemeClr w14:val="tx1"/>
            </w14:solidFill>
          </w14:textFill>
        </w:rPr>
        <w:t>一、</w:t>
      </w:r>
      <w:r>
        <w:rPr>
          <w:rFonts w:hint="eastAsia" w:ascii="方正黑体简体" w:hAnsi="方正黑体简体" w:eastAsia="方正黑体简体" w:cs="方正黑体简体"/>
          <w:b w:val="0"/>
          <w:bCs w:val="0"/>
          <w:color w:val="000000" w:themeColor="text1"/>
          <w:sz w:val="32"/>
          <w:szCs w:val="32"/>
          <w14:textFill>
            <w14:solidFill>
              <w14:schemeClr w14:val="tx1"/>
            </w14:solidFill>
          </w14:textFill>
        </w:rPr>
        <w:t>单位</w:t>
      </w:r>
      <w:r>
        <w:rPr>
          <w:rFonts w:hint="eastAsia" w:ascii="方正黑体简体" w:hAnsi="方正黑体简体" w:eastAsia="方正黑体简体" w:cs="方正黑体简体"/>
          <w:b w:val="0"/>
          <w:bCs w:val="0"/>
          <w:color w:val="000000" w:themeColor="text1"/>
          <w:sz w:val="32"/>
          <w:szCs w:val="32"/>
          <w:lang w:val="en-US" w:eastAsia="zh-CN"/>
          <w14:textFill>
            <w14:solidFill>
              <w14:schemeClr w14:val="tx1"/>
            </w14:solidFill>
          </w14:textFill>
        </w:rPr>
        <w:t>职能</w:t>
      </w:r>
      <w:r>
        <w:rPr>
          <w:rFonts w:hint="eastAsia" w:ascii="方正黑体简体" w:hAnsi="方正黑体简体" w:eastAsia="方正黑体简体" w:cs="方正黑体简体"/>
          <w:b w:val="0"/>
          <w:bCs w:val="0"/>
          <w:color w:val="000000" w:themeColor="text1"/>
          <w:sz w:val="32"/>
          <w:szCs w:val="32"/>
          <w14:textFill>
            <w14:solidFill>
              <w14:schemeClr w14:val="tx1"/>
            </w14:solidFill>
          </w14:textFill>
        </w:rPr>
        <w:t>职责和机构设置</w:t>
      </w:r>
    </w:p>
    <w:p w14:paraId="42B4C6E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6" w:lineRule="exact"/>
        <w:ind w:right="0" w:firstLine="640" w:firstLineChars="200"/>
        <w:textAlignment w:val="auto"/>
        <w:rPr>
          <w:rFonts w:hint="eastAsia" w:ascii="方正仿宋简体" w:hAnsi="方正仿宋简体" w:eastAsia="方正仿宋简体" w:cs="方正仿宋简体"/>
          <w:color w:val="000000" w:themeColor="text1"/>
          <w:kern w:val="2"/>
          <w:sz w:val="32"/>
          <w:szCs w:val="32"/>
          <w:lang w:val="en-US" w:eastAsia="zh-CN" w:bidi="ar-SA"/>
          <w14:textFill>
            <w14:solidFill>
              <w14:schemeClr w14:val="tx1"/>
            </w14:solidFill>
          </w14:textFill>
        </w:rPr>
      </w:pPr>
      <w:r>
        <w:rPr>
          <w:rFonts w:hint="eastAsia" w:ascii="方正仿宋简体" w:hAnsi="方正仿宋简体" w:eastAsia="方正仿宋简体" w:cs="方正仿宋简体"/>
          <w:color w:val="000000" w:themeColor="text1"/>
          <w:kern w:val="2"/>
          <w:sz w:val="32"/>
          <w:szCs w:val="32"/>
          <w:lang w:val="en-US" w:eastAsia="zh-CN" w:bidi="ar-SA"/>
          <w14:textFill>
            <w14:solidFill>
              <w14:schemeClr w14:val="tx1"/>
            </w14:solidFill>
          </w14:textFill>
        </w:rPr>
        <w:t>单位职责：双湖县</w:t>
      </w:r>
      <w:r>
        <w:rPr>
          <w:rFonts w:hint="eastAsia" w:ascii="方正仿宋简体" w:hAnsi="方正仿宋简体" w:eastAsia="方正仿宋简体" w:cs="方正仿宋简体"/>
          <w:color w:val="000000" w:themeColor="text1"/>
          <w:kern w:val="2"/>
          <w:sz w:val="32"/>
          <w:szCs w:val="32"/>
          <w:lang w:val="en-US" w:eastAsia="zh-Hans" w:bidi="ar-SA"/>
          <w14:textFill>
            <w14:solidFill>
              <w14:schemeClr w14:val="tx1"/>
            </w14:solidFill>
          </w14:textFill>
        </w:rPr>
        <w:t>人民检察院是国家法律监督机关，坚持党对检察工作的绝对领导，接受自治区人民检察院</w:t>
      </w:r>
      <w:r>
        <w:rPr>
          <w:rFonts w:hint="eastAsia" w:ascii="方正仿宋简体" w:hAnsi="方正仿宋简体" w:eastAsia="方正仿宋简体" w:cs="方正仿宋简体"/>
          <w:color w:val="000000" w:themeColor="text1"/>
          <w:kern w:val="2"/>
          <w:sz w:val="32"/>
          <w:szCs w:val="32"/>
          <w:lang w:val="en-US" w:eastAsia="zh-CN" w:bidi="ar-SA"/>
          <w14:textFill>
            <w14:solidFill>
              <w14:schemeClr w14:val="tx1"/>
            </w14:solidFill>
          </w14:textFill>
        </w:rPr>
        <w:t>和那曲市人民检察院</w:t>
      </w:r>
      <w:r>
        <w:rPr>
          <w:rFonts w:hint="eastAsia" w:ascii="方正仿宋简体" w:hAnsi="方正仿宋简体" w:eastAsia="方正仿宋简体" w:cs="方正仿宋简体"/>
          <w:color w:val="000000" w:themeColor="text1"/>
          <w:kern w:val="2"/>
          <w:sz w:val="32"/>
          <w:szCs w:val="32"/>
          <w:lang w:val="en-US" w:eastAsia="zh-Hans" w:bidi="ar-SA"/>
          <w14:textFill>
            <w14:solidFill>
              <w14:schemeClr w14:val="tx1"/>
            </w14:solidFill>
          </w14:textFill>
        </w:rPr>
        <w:t>的领导，对</w:t>
      </w:r>
      <w:r>
        <w:rPr>
          <w:rFonts w:hint="eastAsia" w:ascii="方正仿宋简体" w:hAnsi="方正仿宋简体" w:eastAsia="方正仿宋简体" w:cs="方正仿宋简体"/>
          <w:color w:val="000000" w:themeColor="text1"/>
          <w:kern w:val="2"/>
          <w:sz w:val="32"/>
          <w:szCs w:val="32"/>
          <w:lang w:val="en-US" w:eastAsia="zh-CN" w:bidi="ar-SA"/>
          <w14:textFill>
            <w14:solidFill>
              <w14:schemeClr w14:val="tx1"/>
            </w14:solidFill>
          </w14:textFill>
        </w:rPr>
        <w:t>双湖县</w:t>
      </w:r>
      <w:r>
        <w:rPr>
          <w:rFonts w:hint="eastAsia" w:ascii="方正仿宋简体" w:hAnsi="方正仿宋简体" w:eastAsia="方正仿宋简体" w:cs="方正仿宋简体"/>
          <w:color w:val="000000" w:themeColor="text1"/>
          <w:kern w:val="2"/>
          <w:sz w:val="32"/>
          <w:szCs w:val="32"/>
          <w:lang w:val="en-US" w:eastAsia="zh-Hans" w:bidi="ar-SA"/>
          <w14:textFill>
            <w14:solidFill>
              <w14:schemeClr w14:val="tx1"/>
            </w14:solidFill>
          </w14:textFill>
        </w:rPr>
        <w:t>人民代表大会和</w:t>
      </w:r>
      <w:r>
        <w:rPr>
          <w:rFonts w:hint="eastAsia" w:ascii="方正仿宋简体" w:hAnsi="方正仿宋简体" w:eastAsia="方正仿宋简体" w:cs="方正仿宋简体"/>
          <w:color w:val="000000" w:themeColor="text1"/>
          <w:kern w:val="2"/>
          <w:sz w:val="32"/>
          <w:szCs w:val="32"/>
          <w:lang w:val="en-US" w:eastAsia="zh-CN" w:bidi="ar-SA"/>
          <w14:textFill>
            <w14:solidFill>
              <w14:schemeClr w14:val="tx1"/>
            </w14:solidFill>
          </w14:textFill>
        </w:rPr>
        <w:t>双湖县</w:t>
      </w:r>
      <w:r>
        <w:rPr>
          <w:rFonts w:hint="eastAsia" w:ascii="方正仿宋简体" w:hAnsi="方正仿宋简体" w:eastAsia="方正仿宋简体" w:cs="方正仿宋简体"/>
          <w:color w:val="000000" w:themeColor="text1"/>
          <w:kern w:val="2"/>
          <w:sz w:val="32"/>
          <w:szCs w:val="32"/>
          <w:lang w:val="en-US" w:eastAsia="zh-Hans" w:bidi="ar-SA"/>
          <w14:textFill>
            <w14:solidFill>
              <w14:schemeClr w14:val="tx1"/>
            </w14:solidFill>
          </w14:textFill>
        </w:rPr>
        <w:t>人民代表大会常务委员会负责并报告工作。</w:t>
      </w:r>
      <w:r>
        <w:rPr>
          <w:rFonts w:hint="eastAsia" w:ascii="方正仿宋简体" w:hAnsi="方正仿宋简体" w:eastAsia="方正仿宋简体" w:cs="方正仿宋简体"/>
          <w:color w:val="000000" w:themeColor="text1"/>
          <w:kern w:val="2"/>
          <w:sz w:val="32"/>
          <w:szCs w:val="32"/>
          <w:lang w:val="en-US" w:eastAsia="zh-CN" w:bidi="ar-SA"/>
          <w14:textFill>
            <w14:solidFill>
              <w14:schemeClr w14:val="tx1"/>
            </w14:solidFill>
          </w14:textFill>
        </w:rPr>
        <w:t>其主要职责是：</w:t>
      </w:r>
    </w:p>
    <w:p w14:paraId="785829B5">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6" w:lineRule="exact"/>
        <w:ind w:right="0" w:firstLine="640" w:firstLineChars="200"/>
        <w:textAlignment w:val="auto"/>
        <w:rPr>
          <w:rFonts w:hint="eastAsia" w:ascii="方正仿宋简体" w:hAnsi="方正仿宋简体" w:eastAsia="方正仿宋简体" w:cs="方正仿宋简体"/>
          <w:color w:val="000000" w:themeColor="text1"/>
          <w:sz w:val="32"/>
          <w:szCs w:val="32"/>
          <w:lang w:val="en-US" w:eastAsia="zh-Hans"/>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val="en-US" w:eastAsia="zh-Hans"/>
          <w14:textFill>
            <w14:solidFill>
              <w14:schemeClr w14:val="tx1"/>
            </w14:solidFill>
          </w14:textFill>
        </w:rPr>
        <w:t>坚持以习近平新时代中国特色社会主义思想为指导，深入贯彻落实习近平总书记关于治边稳藏的重要论述和西藏工作的系列重要指示批示精神，贯彻落实党的路线方针政策和决策部署，统一全市检察机关思想和行动，增强“四个意识”、坚定“四个自信”、做到“两个维护”。</w:t>
      </w:r>
    </w:p>
    <w:p w14:paraId="671A855A">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6" w:lineRule="exact"/>
        <w:ind w:right="0" w:firstLine="640" w:firstLineChars="200"/>
        <w:textAlignment w:val="auto"/>
        <w:rPr>
          <w:rFonts w:hint="eastAsia" w:ascii="方正仿宋简体" w:hAnsi="方正仿宋简体" w:eastAsia="方正仿宋简体" w:cs="方正仿宋简体"/>
          <w:color w:val="000000" w:themeColor="text1"/>
          <w:sz w:val="32"/>
          <w:szCs w:val="32"/>
          <w:lang w:val="en-US" w:eastAsia="zh-Hans"/>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val="en-US" w:eastAsia="zh-Hans"/>
          <w14:textFill>
            <w14:solidFill>
              <w14:schemeClr w14:val="tx1"/>
            </w14:solidFill>
          </w14:textFill>
        </w:rPr>
        <w:t>依法向</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双湖县</w:t>
      </w:r>
      <w:r>
        <w:rPr>
          <w:rFonts w:hint="eastAsia" w:ascii="方正仿宋简体" w:hAnsi="方正仿宋简体" w:eastAsia="方正仿宋简体" w:cs="方正仿宋简体"/>
          <w:color w:val="000000" w:themeColor="text1"/>
          <w:sz w:val="32"/>
          <w:szCs w:val="32"/>
          <w:lang w:val="en-US" w:eastAsia="zh-Hans"/>
          <w14:textFill>
            <w14:solidFill>
              <w14:schemeClr w14:val="tx1"/>
            </w14:solidFill>
          </w14:textFill>
        </w:rPr>
        <w:t>人民代表大会及其常务委员会提出议案。</w:t>
      </w:r>
    </w:p>
    <w:p w14:paraId="724238E3">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6" w:lineRule="exact"/>
        <w:ind w:right="0" w:firstLine="640" w:firstLineChars="200"/>
        <w:textAlignment w:val="auto"/>
        <w:rPr>
          <w:rFonts w:hint="eastAsia" w:ascii="方正仿宋简体" w:hAnsi="方正仿宋简体" w:eastAsia="方正仿宋简体" w:cs="方正仿宋简体"/>
          <w:color w:val="000000" w:themeColor="text1"/>
          <w:sz w:val="32"/>
          <w:szCs w:val="32"/>
          <w:lang w:val="en-US" w:eastAsia="zh-Hans"/>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val="en-US" w:eastAsia="zh-Hans"/>
          <w14:textFill>
            <w14:solidFill>
              <w14:schemeClr w14:val="tx1"/>
            </w14:solidFill>
          </w14:textFill>
        </w:rPr>
        <w:t>贯彻执行</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西藏</w:t>
      </w:r>
      <w:r>
        <w:rPr>
          <w:rFonts w:hint="eastAsia" w:ascii="方正仿宋简体" w:hAnsi="方正仿宋简体" w:eastAsia="方正仿宋简体" w:cs="方正仿宋简体"/>
          <w:color w:val="000000" w:themeColor="text1"/>
          <w:sz w:val="32"/>
          <w:szCs w:val="32"/>
          <w:lang w:val="en-US" w:eastAsia="zh-Hans"/>
          <w14:textFill>
            <w14:solidFill>
              <w14:schemeClr w14:val="tx1"/>
            </w14:solidFill>
          </w14:textFill>
        </w:rPr>
        <w:t>自治区人民检察院和那曲市人民检察院</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工作</w:t>
      </w:r>
      <w:r>
        <w:rPr>
          <w:rFonts w:hint="eastAsia" w:ascii="方正仿宋简体" w:hAnsi="方正仿宋简体" w:eastAsia="方正仿宋简体" w:cs="方正仿宋简体"/>
          <w:color w:val="000000" w:themeColor="text1"/>
          <w:sz w:val="32"/>
          <w:szCs w:val="32"/>
          <w:lang w:val="en-US" w:eastAsia="zh-Hans"/>
          <w14:textFill>
            <w14:solidFill>
              <w14:schemeClr w14:val="tx1"/>
            </w14:solidFill>
          </w14:textFill>
        </w:rPr>
        <w:t>部署，</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并接受</w:t>
      </w:r>
      <w:r>
        <w:rPr>
          <w:rFonts w:hint="eastAsia" w:ascii="方正仿宋简体" w:hAnsi="方正仿宋简体" w:eastAsia="方正仿宋简体" w:cs="方正仿宋简体"/>
          <w:color w:val="000000" w:themeColor="text1"/>
          <w:sz w:val="32"/>
          <w:szCs w:val="32"/>
          <w:lang w:val="en-US" w:eastAsia="zh-Hans"/>
          <w14:textFill>
            <w14:solidFill>
              <w14:schemeClr w14:val="tx1"/>
            </w14:solidFill>
          </w14:textFill>
        </w:rPr>
        <w:t>相关业务指导</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w:t>
      </w:r>
    </w:p>
    <w:p w14:paraId="0FBE19F0">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6" w:lineRule="exact"/>
        <w:ind w:right="0" w:firstLine="640" w:firstLineChars="200"/>
        <w:textAlignment w:val="auto"/>
        <w:rPr>
          <w:rFonts w:hint="eastAsia" w:ascii="方正仿宋简体" w:hAnsi="方正仿宋简体" w:eastAsia="方正仿宋简体" w:cs="方正仿宋简体"/>
          <w:color w:val="000000" w:themeColor="text1"/>
          <w:sz w:val="32"/>
          <w:szCs w:val="32"/>
          <w:lang w:val="en-US" w:eastAsia="zh-Hans"/>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负责应由</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双湖</w:t>
      </w:r>
      <w:r>
        <w:rPr>
          <w:rFonts w:hint="eastAsia" w:ascii="方正仿宋简体" w:hAnsi="方正仿宋简体" w:eastAsia="方正仿宋简体" w:cs="方正仿宋简体"/>
          <w:color w:val="000000" w:themeColor="text1"/>
          <w:sz w:val="32"/>
          <w:szCs w:val="32"/>
          <w14:textFill>
            <w14:solidFill>
              <w14:schemeClr w14:val="tx1"/>
            </w14:solidFill>
          </w14:textFill>
        </w:rPr>
        <w:t>县人民检察院管辖的刑事案件的审查批准逮捕、决定逮捕、提起公诉工作。</w:t>
      </w:r>
    </w:p>
    <w:p w14:paraId="521DE7A4">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6" w:lineRule="exact"/>
        <w:ind w:right="0" w:firstLine="640" w:firstLineChars="200"/>
        <w:textAlignment w:val="auto"/>
        <w:rPr>
          <w:rFonts w:hint="eastAsia" w:ascii="方正仿宋简体" w:hAnsi="方正仿宋简体" w:eastAsia="方正仿宋简体" w:cs="方正仿宋简体"/>
          <w:color w:val="000000" w:themeColor="text1"/>
          <w:sz w:val="32"/>
          <w:szCs w:val="32"/>
          <w:lang w:val="en-US" w:eastAsia="zh-Hans"/>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负责应由</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双湖</w:t>
      </w:r>
      <w:r>
        <w:rPr>
          <w:rFonts w:hint="eastAsia" w:ascii="方正仿宋简体" w:hAnsi="方正仿宋简体" w:eastAsia="方正仿宋简体" w:cs="方正仿宋简体"/>
          <w:color w:val="000000" w:themeColor="text1"/>
          <w:sz w:val="32"/>
          <w:szCs w:val="32"/>
          <w14:textFill>
            <w14:solidFill>
              <w14:schemeClr w14:val="tx1"/>
            </w14:solidFill>
          </w14:textFill>
        </w:rPr>
        <w:t>县人民检察院承办的刑事、民事、行政诉讼活动及刑事、民事、行政判决和裁定等生效法律文书执行的法律监督工作。</w:t>
      </w:r>
    </w:p>
    <w:p w14:paraId="4F5D51A4">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6" w:lineRule="exact"/>
        <w:ind w:right="0" w:firstLine="640" w:firstLineChars="200"/>
        <w:textAlignment w:val="auto"/>
        <w:rPr>
          <w:rFonts w:hint="eastAsia" w:ascii="方正仿宋简体" w:hAnsi="方正仿宋简体" w:eastAsia="方正仿宋简体" w:cs="方正仿宋简体"/>
          <w:color w:val="000000" w:themeColor="text1"/>
          <w:sz w:val="32"/>
          <w:szCs w:val="32"/>
          <w:lang w:val="en-US" w:eastAsia="zh-Hans"/>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val="en-US" w:eastAsia="zh-Hans"/>
          <w14:textFill>
            <w14:solidFill>
              <w14:schemeClr w14:val="tx1"/>
            </w14:solidFill>
          </w14:textFill>
        </w:rPr>
        <w:t>负责应由</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双湖县</w:t>
      </w:r>
      <w:r>
        <w:rPr>
          <w:rFonts w:hint="eastAsia" w:ascii="方正仿宋简体" w:hAnsi="方正仿宋简体" w:eastAsia="方正仿宋简体" w:cs="方正仿宋简体"/>
          <w:color w:val="000000" w:themeColor="text1"/>
          <w:sz w:val="32"/>
          <w:szCs w:val="32"/>
          <w:lang w:val="en-US" w:eastAsia="zh-Hans"/>
          <w14:textFill>
            <w14:solidFill>
              <w14:schemeClr w14:val="tx1"/>
            </w14:solidFill>
          </w14:textFill>
        </w:rPr>
        <w:t>人民检察院承办的提起公益诉讼工作</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w:t>
      </w:r>
    </w:p>
    <w:p w14:paraId="18F1A0E2">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6" w:lineRule="exact"/>
        <w:ind w:right="0" w:firstLine="640" w:firstLineChars="200"/>
        <w:textAlignment w:val="auto"/>
        <w:rPr>
          <w:rFonts w:hint="eastAsia" w:ascii="方正仿宋简体" w:hAnsi="方正仿宋简体" w:eastAsia="方正仿宋简体" w:cs="方正仿宋简体"/>
          <w:color w:val="000000" w:themeColor="text1"/>
          <w:sz w:val="32"/>
          <w:szCs w:val="32"/>
          <w:lang w:val="en-US" w:eastAsia="zh-Hans"/>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val="en-US" w:eastAsia="zh-Hans"/>
          <w14:textFill>
            <w14:solidFill>
              <w14:schemeClr w14:val="tx1"/>
            </w14:solidFill>
          </w14:textFill>
        </w:rPr>
        <w:t>负责应由</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双湖县</w:t>
      </w:r>
      <w:r>
        <w:rPr>
          <w:rFonts w:hint="eastAsia" w:ascii="方正仿宋简体" w:hAnsi="方正仿宋简体" w:eastAsia="方正仿宋简体" w:cs="方正仿宋简体"/>
          <w:color w:val="000000" w:themeColor="text1"/>
          <w:sz w:val="32"/>
          <w:szCs w:val="32"/>
          <w:lang w:val="en-US" w:eastAsia="zh-Hans"/>
          <w14:textFill>
            <w14:solidFill>
              <w14:schemeClr w14:val="tx1"/>
            </w14:solidFill>
          </w14:textFill>
        </w:rPr>
        <w:t>人民检察院承办的对看守所</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、社区矫正机构</w:t>
      </w:r>
      <w:r>
        <w:rPr>
          <w:rFonts w:hint="eastAsia" w:ascii="方正仿宋简体" w:hAnsi="方正仿宋简体" w:eastAsia="方正仿宋简体" w:cs="方正仿宋简体"/>
          <w:color w:val="000000" w:themeColor="text1"/>
          <w:sz w:val="32"/>
          <w:szCs w:val="32"/>
          <w:lang w:val="en-US" w:eastAsia="zh-Hans"/>
          <w14:textFill>
            <w14:solidFill>
              <w14:schemeClr w14:val="tx1"/>
            </w14:solidFill>
          </w14:textFill>
        </w:rPr>
        <w:t>等执法活动的法律监督工作，</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负责</w:t>
      </w:r>
      <w:r>
        <w:rPr>
          <w:rFonts w:hint="eastAsia" w:ascii="方正仿宋简体" w:hAnsi="方正仿宋简体" w:eastAsia="方正仿宋简体" w:cs="方正仿宋简体"/>
          <w:color w:val="000000" w:themeColor="text1"/>
          <w:sz w:val="32"/>
          <w:szCs w:val="32"/>
          <w:lang w:val="en-US" w:eastAsia="zh-Hans"/>
          <w14:textFill>
            <w14:solidFill>
              <w14:schemeClr w14:val="tx1"/>
            </w14:solidFill>
          </w14:textFill>
        </w:rPr>
        <w:t>应由</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双湖县</w:t>
      </w:r>
      <w:r>
        <w:rPr>
          <w:rFonts w:hint="eastAsia" w:ascii="方正仿宋简体" w:hAnsi="方正仿宋简体" w:eastAsia="方正仿宋简体" w:cs="方正仿宋简体"/>
          <w:color w:val="000000" w:themeColor="text1"/>
          <w:sz w:val="32"/>
          <w:szCs w:val="32"/>
          <w:lang w:val="en-US" w:eastAsia="zh-Hans"/>
          <w14:textFill>
            <w14:solidFill>
              <w14:schemeClr w14:val="tx1"/>
            </w14:solidFill>
          </w14:textFill>
        </w:rPr>
        <w:t>人民检察院</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承办的司法工作人员相关职务犯罪案件的立案侦查工作。</w:t>
      </w:r>
    </w:p>
    <w:p w14:paraId="6594891D">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6" w:lineRule="exact"/>
        <w:ind w:right="0"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val="en-US" w:eastAsia="zh-Hans"/>
          <w14:textFill>
            <w14:solidFill>
              <w14:schemeClr w14:val="tx1"/>
            </w14:solidFill>
          </w14:textFill>
        </w:rPr>
        <w:t>受理向</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双湖县</w:t>
      </w:r>
      <w:r>
        <w:rPr>
          <w:rFonts w:hint="eastAsia" w:ascii="方正仿宋简体" w:hAnsi="方正仿宋简体" w:eastAsia="方正仿宋简体" w:cs="方正仿宋简体"/>
          <w:color w:val="000000" w:themeColor="text1"/>
          <w:sz w:val="32"/>
          <w:szCs w:val="32"/>
          <w:lang w:val="en-US" w:eastAsia="zh-Hans"/>
          <w14:textFill>
            <w14:solidFill>
              <w14:schemeClr w14:val="tx1"/>
            </w14:solidFill>
          </w14:textFill>
        </w:rPr>
        <w:t>人民检察院的控告、申诉和举报，领导所辖各基层人民检察院的控告申诉检察工作。</w:t>
      </w:r>
    </w:p>
    <w:p w14:paraId="589D72A2">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6" w:lineRule="exact"/>
        <w:ind w:right="0" w:firstLine="640" w:firstLineChars="200"/>
        <w:textAlignment w:val="auto"/>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负责</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双湖</w:t>
      </w:r>
      <w:r>
        <w:rPr>
          <w:rFonts w:hint="eastAsia" w:ascii="方正仿宋简体" w:hAnsi="方正仿宋简体" w:eastAsia="方正仿宋简体" w:cs="方正仿宋简体"/>
          <w:color w:val="000000" w:themeColor="text1"/>
          <w:sz w:val="32"/>
          <w:szCs w:val="32"/>
          <w14:textFill>
            <w14:solidFill>
              <w14:schemeClr w14:val="tx1"/>
            </w14:solidFill>
          </w14:textFill>
        </w:rPr>
        <w:t>县人民检察院的队伍建设</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w:t>
      </w:r>
      <w:r>
        <w:rPr>
          <w:rFonts w:hint="eastAsia" w:ascii="方正仿宋简体" w:hAnsi="方正仿宋简体" w:eastAsia="方正仿宋简体" w:cs="方正仿宋简体"/>
          <w:color w:val="000000" w:themeColor="text1"/>
          <w:sz w:val="32"/>
          <w:szCs w:val="32"/>
          <w14:textFill>
            <w14:solidFill>
              <w14:schemeClr w14:val="tx1"/>
            </w14:solidFill>
          </w14:textFill>
        </w:rPr>
        <w:t>思想政治</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、检务督察、财务装备和检察技术信息工作。</w:t>
      </w:r>
    </w:p>
    <w:p w14:paraId="710A3E5F">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6" w:lineRule="exact"/>
        <w:ind w:right="0" w:firstLine="640" w:firstLineChars="200"/>
        <w:textAlignment w:val="auto"/>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负责其他应由双湖</w:t>
      </w:r>
      <w:r>
        <w:rPr>
          <w:rFonts w:hint="eastAsia" w:ascii="方正仿宋简体" w:hAnsi="方正仿宋简体" w:eastAsia="方正仿宋简体" w:cs="方正仿宋简体"/>
          <w:color w:val="000000" w:themeColor="text1"/>
          <w:sz w:val="32"/>
          <w:szCs w:val="32"/>
          <w14:textFill>
            <w14:solidFill>
              <w14:schemeClr w14:val="tx1"/>
            </w14:solidFill>
          </w14:textFill>
        </w:rPr>
        <w:t>县人民检察院</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承办的事项。</w:t>
      </w:r>
    </w:p>
    <w:p w14:paraId="6B128F5C">
      <w:pPr>
        <w:widowControl/>
        <w:spacing w:line="578" w:lineRule="exact"/>
        <w:ind w:firstLine="800" w:firstLineChars="250"/>
        <w:jc w:val="left"/>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双湖县人民检察院内设</w:t>
      </w:r>
      <w:r>
        <w:rPr>
          <w:rFonts w:hint="eastAsia" w:ascii="方正仿宋简体" w:hAnsi="方正仿宋简体" w:eastAsia="方正仿宋简体" w:cs="方正仿宋简体"/>
          <w:color w:val="000000" w:themeColor="text1"/>
          <w:kern w:val="0"/>
          <w:sz w:val="32"/>
          <w:szCs w:val="32"/>
          <w:lang w:val="en-US" w:eastAsia="zh-CN"/>
          <w14:textFill>
            <w14:solidFill>
              <w14:schemeClr w14:val="tx1"/>
            </w14:solidFill>
          </w14:textFill>
        </w:rPr>
        <w:t>机构设置</w:t>
      </w:r>
      <w:r>
        <w:rPr>
          <w:rFonts w:hint="eastAsia" w:ascii="方正仿宋简体" w:hAnsi="方正仿宋简体" w:eastAsia="方正仿宋简体" w:cs="方正仿宋简体"/>
          <w:color w:val="000000" w:themeColor="text1"/>
          <w:sz w:val="32"/>
          <w:szCs w:val="32"/>
          <w14:textFill>
            <w14:solidFill>
              <w14:schemeClr w14:val="tx1"/>
            </w14:solidFill>
          </w14:textFill>
        </w:rPr>
        <w:t>：</w:t>
      </w:r>
    </w:p>
    <w:p w14:paraId="04EBACF7">
      <w:pPr>
        <w:widowControl/>
        <w:numPr>
          <w:ilvl w:val="0"/>
          <w:numId w:val="2"/>
        </w:numPr>
        <w:spacing w:line="578" w:lineRule="exact"/>
        <w:ind w:firstLine="800" w:firstLineChars="250"/>
        <w:jc w:val="left"/>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检察业务部：负责刑事、民事、行政、公益诉讼检察工作，负责刑事执行检察工作。办理本院管辖的刑事、民事、行政、公益诉讼相关申诉案件。开展未成年人司法保护和预防未成年人犯罪工作。负责案件管理、接待辩护人和诉讼代理人、人民监督员工作。负责受理向本院的控告、申诉和举报，承办本院辖区的国家赔偿案件和国家司法救助案件。负责法律政策研究，承担本院检察委员会的日常工作。负责对本院各部门执行法律、法规和上级人民检察院和本院的规定、决定的情况进行督察。承担检察官惩戒、内部审计工作。负责检察监督线索管理等工作。</w:t>
      </w:r>
    </w:p>
    <w:p w14:paraId="520F74A8">
      <w:pPr>
        <w:widowControl/>
        <w:numPr>
          <w:ilvl w:val="0"/>
          <w:numId w:val="2"/>
        </w:numPr>
        <w:spacing w:line="578" w:lineRule="exact"/>
        <w:ind w:firstLine="800" w:firstLineChars="250"/>
        <w:jc w:val="left"/>
        <w:rPr>
          <w:rFonts w:hint="eastAsia" w:ascii="方正仿宋简体" w:hAnsi="方正仿宋简体" w:eastAsia="方正仿宋简体" w:cs="方正仿宋简体"/>
          <w:color w:val="000000" w:themeColor="text1"/>
          <w:kern w:val="0"/>
          <w:sz w:val="32"/>
          <w:szCs w:val="32"/>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14:textFill>
            <w14:solidFill>
              <w14:schemeClr w14:val="tx1"/>
            </w14:solidFill>
          </w14:textFill>
        </w:rPr>
        <w:t>检察综合部（政工科、司法警察大队）：负责机关文电、会务、机要、档案、保密等工作。负责领导同志批办事项的 督查工作。负责人大代表、政协委员和特约检察员的联系工作。负责财务装备管理工作，以及检察技术、信息化建设、信息安全等工作。负责本院党的建设、领导班子建设、干部队伍与组织建设、检察官管理、劳动工资管理，以及检察官遴选、检察官助理和聘用制书记员统一招录等工作。负责机关意识形态、新闻宣传和舆论引导、检察文化建设工作。负责司法警察工作，以及本院警务保障和机关的安全保卫等工作。</w:t>
      </w:r>
    </w:p>
    <w:p w14:paraId="64CCDF87">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pPr>
    </w:p>
    <w:p w14:paraId="29F36189">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color w:val="000000" w:themeColor="text1"/>
          <w:sz w:val="32"/>
          <w:szCs w:val="32"/>
          <w:lang w:eastAsia="zh-CN"/>
          <w14:textFill>
            <w14:solidFill>
              <w14:schemeClr w14:val="tx1"/>
            </w14:solidFill>
          </w14:textFill>
        </w:rPr>
      </w:pPr>
    </w:p>
    <w:p w14:paraId="25C2C552">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color w:val="000000" w:themeColor="text1"/>
          <w:sz w:val="32"/>
          <w:szCs w:val="32"/>
          <w:lang w:eastAsia="zh-CN"/>
          <w14:textFill>
            <w14:solidFill>
              <w14:schemeClr w14:val="tx1"/>
            </w14:solidFill>
          </w14:textFill>
        </w:rPr>
      </w:pPr>
    </w:p>
    <w:p w14:paraId="70B1FA57">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color w:val="000000" w:themeColor="text1"/>
          <w:sz w:val="32"/>
          <w:szCs w:val="32"/>
          <w:lang w:eastAsia="zh-CN"/>
          <w14:textFill>
            <w14:solidFill>
              <w14:schemeClr w14:val="tx1"/>
            </w14:solidFill>
          </w14:textFill>
        </w:rPr>
      </w:pPr>
    </w:p>
    <w:p w14:paraId="7703CD68">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color w:val="000000" w:themeColor="text1"/>
          <w:sz w:val="32"/>
          <w:szCs w:val="32"/>
          <w:lang w:eastAsia="zh-CN"/>
          <w14:textFill>
            <w14:solidFill>
              <w14:schemeClr w14:val="tx1"/>
            </w14:solidFill>
          </w14:textFill>
        </w:rPr>
      </w:pPr>
    </w:p>
    <w:p w14:paraId="41F26E26">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color w:val="000000" w:themeColor="text1"/>
          <w:sz w:val="32"/>
          <w:szCs w:val="32"/>
          <w:lang w:eastAsia="zh-CN"/>
          <w14:textFill>
            <w14:solidFill>
              <w14:schemeClr w14:val="tx1"/>
            </w14:solidFill>
          </w14:textFill>
        </w:rPr>
      </w:pPr>
    </w:p>
    <w:p w14:paraId="53184C59">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color w:val="000000" w:themeColor="text1"/>
          <w:sz w:val="32"/>
          <w:szCs w:val="32"/>
          <w:lang w:eastAsia="zh-CN"/>
          <w14:textFill>
            <w14:solidFill>
              <w14:schemeClr w14:val="tx1"/>
            </w14:solidFill>
          </w14:textFill>
        </w:rPr>
      </w:pPr>
    </w:p>
    <w:p w14:paraId="4176A006">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color w:val="000000" w:themeColor="text1"/>
          <w:sz w:val="32"/>
          <w:szCs w:val="32"/>
          <w:lang w:eastAsia="zh-CN"/>
          <w14:textFill>
            <w14:solidFill>
              <w14:schemeClr w14:val="tx1"/>
            </w14:solidFill>
          </w14:textFill>
        </w:rPr>
      </w:pPr>
    </w:p>
    <w:p w14:paraId="1508FE50">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color w:val="000000" w:themeColor="text1"/>
          <w:sz w:val="32"/>
          <w:szCs w:val="32"/>
          <w:lang w:eastAsia="zh-CN"/>
          <w14:textFill>
            <w14:solidFill>
              <w14:schemeClr w14:val="tx1"/>
            </w14:solidFill>
          </w14:textFill>
        </w:rPr>
      </w:pPr>
    </w:p>
    <w:p w14:paraId="0093BB84">
      <w:pPr>
        <w:spacing w:line="560" w:lineRule="auto"/>
        <w:jc w:val="both"/>
        <w:rPr>
          <w:rFonts w:hint="default" w:ascii="Times New Roman" w:hAnsi="Times New Roman" w:cs="Times New Roman" w:eastAsiaTheme="majorEastAsia"/>
          <w:b/>
          <w:bCs/>
          <w:color w:val="000000" w:themeColor="text1"/>
          <w:sz w:val="44"/>
          <w:szCs w:val="44"/>
          <w14:textFill>
            <w14:solidFill>
              <w14:schemeClr w14:val="tx1"/>
            </w14:solidFill>
          </w14:textFill>
        </w:rPr>
      </w:pPr>
    </w:p>
    <w:p w14:paraId="5E7E91B4">
      <w:pPr>
        <w:spacing w:line="560" w:lineRule="auto"/>
        <w:jc w:val="center"/>
        <w:rPr>
          <w:rFonts w:hint="default" w:ascii="Times New Roman" w:hAnsi="Times New Roman" w:cs="Times New Roman" w:eastAsiaTheme="majorEastAsia"/>
          <w:b/>
          <w:bCs/>
          <w:color w:val="000000" w:themeColor="text1"/>
          <w:sz w:val="44"/>
          <w:szCs w:val="44"/>
          <w14:textFill>
            <w14:solidFill>
              <w14:schemeClr w14:val="tx1"/>
            </w14:solidFill>
          </w14:textFill>
        </w:rPr>
      </w:pPr>
    </w:p>
    <w:p w14:paraId="45DBADD4">
      <w:pPr>
        <w:spacing w:line="560" w:lineRule="auto"/>
        <w:jc w:val="center"/>
        <w:rPr>
          <w:rFonts w:hint="default" w:ascii="Times New Roman" w:hAnsi="Times New Roman" w:cs="Times New Roman" w:eastAsiaTheme="majorEastAsia"/>
          <w:b/>
          <w:bCs/>
          <w:color w:val="000000" w:themeColor="text1"/>
          <w:sz w:val="44"/>
          <w:szCs w:val="44"/>
          <w14:textFill>
            <w14:solidFill>
              <w14:schemeClr w14:val="tx1"/>
            </w14:solidFill>
          </w14:textFill>
        </w:rPr>
      </w:pPr>
    </w:p>
    <w:p w14:paraId="45FD15FC">
      <w:pPr>
        <w:spacing w:line="560" w:lineRule="auto"/>
        <w:jc w:val="center"/>
        <w:rPr>
          <w:rFonts w:hint="eastAsia" w:ascii="Times New Roman" w:hAnsi="Times New Roman" w:cs="Times New Roman" w:eastAsiaTheme="majorEastAsia"/>
          <w:b/>
          <w:bCs/>
          <w:color w:val="000000" w:themeColor="text1"/>
          <w:sz w:val="44"/>
          <w:szCs w:val="44"/>
          <w:lang w:val="en-US" w:eastAsia="zh-CN"/>
          <w14:textFill>
            <w14:solidFill>
              <w14:schemeClr w14:val="tx1"/>
            </w14:solidFill>
          </w14:textFill>
        </w:rPr>
      </w:pPr>
      <w:r>
        <w:rPr>
          <w:rFonts w:hint="default" w:ascii="Times New Roman" w:hAnsi="Times New Roman" w:cs="Times New Roman" w:eastAsiaTheme="majorEastAsia"/>
          <w:b/>
          <w:bCs/>
          <w:color w:val="000000" w:themeColor="text1"/>
          <w:sz w:val="44"/>
          <w:szCs w:val="44"/>
          <w14:textFill>
            <w14:solidFill>
              <w14:schemeClr w14:val="tx1"/>
            </w14:solidFill>
          </w14:textFill>
        </w:rPr>
        <w:t>第二部</w:t>
      </w:r>
      <w:r>
        <w:rPr>
          <w:rFonts w:hint="eastAsia" w:cs="Times New Roman" w:eastAsiaTheme="majorEastAsia"/>
          <w:b/>
          <w:bCs/>
          <w:color w:val="000000" w:themeColor="text1"/>
          <w:sz w:val="44"/>
          <w:szCs w:val="44"/>
          <w:lang w:val="en-US" w:eastAsia="zh-CN"/>
          <w14:textFill>
            <w14:solidFill>
              <w14:schemeClr w14:val="tx1"/>
            </w14:solidFill>
          </w14:textFill>
        </w:rPr>
        <w:t>部分</w:t>
      </w:r>
    </w:p>
    <w:p w14:paraId="4B3F1138">
      <w:pPr>
        <w:spacing w:line="560" w:lineRule="auto"/>
        <w:jc w:val="center"/>
        <w:rPr>
          <w:rFonts w:hint="default" w:ascii="Times New Roman" w:hAnsi="Times New Roman" w:cs="Times New Roman" w:eastAsiaTheme="majorEastAsia"/>
          <w:b/>
          <w:bCs/>
          <w:color w:val="000000" w:themeColor="text1"/>
          <w:sz w:val="44"/>
          <w:szCs w:val="44"/>
          <w:lang w:eastAsia="zh-CN"/>
          <w14:textFill>
            <w14:solidFill>
              <w14:schemeClr w14:val="tx1"/>
            </w14:solidFill>
          </w14:textFill>
        </w:rPr>
      </w:pPr>
      <w:r>
        <w:rPr>
          <w:rFonts w:hint="eastAsia" w:cs="Times New Roman" w:eastAsiaTheme="majorEastAsia"/>
          <w:b/>
          <w:bCs/>
          <w:color w:val="000000" w:themeColor="text1"/>
          <w:sz w:val="44"/>
          <w:szCs w:val="44"/>
          <w:lang w:eastAsia="zh-CN"/>
          <w14:textFill>
            <w14:solidFill>
              <w14:schemeClr w14:val="tx1"/>
            </w14:solidFill>
          </w14:textFill>
        </w:rPr>
        <w:t>那曲市双湖县</w:t>
      </w:r>
      <w:r>
        <w:rPr>
          <w:rFonts w:hint="default" w:ascii="Times New Roman" w:hAnsi="Times New Roman" w:cs="Times New Roman" w:eastAsiaTheme="majorEastAsia"/>
          <w:b/>
          <w:bCs/>
          <w:color w:val="000000" w:themeColor="text1"/>
          <w:sz w:val="44"/>
          <w:szCs w:val="44"/>
          <w:lang w:eastAsia="zh-CN"/>
          <w14:textFill>
            <w14:solidFill>
              <w14:schemeClr w14:val="tx1"/>
            </w14:solidFill>
          </w14:textFill>
        </w:rPr>
        <w:t>人民检察院</w:t>
      </w:r>
    </w:p>
    <w:p w14:paraId="090844F9">
      <w:pPr>
        <w:spacing w:line="560" w:lineRule="auto"/>
        <w:jc w:val="center"/>
        <w:rPr>
          <w:rFonts w:hint="default" w:ascii="Times New Roman" w:hAnsi="Times New Roman" w:eastAsia="黑体" w:cs="Times New Roman"/>
          <w:b/>
          <w:bCs/>
          <w:color w:val="000000" w:themeColor="text1"/>
          <w:sz w:val="32"/>
          <w:szCs w:val="32"/>
          <w14:textFill>
            <w14:solidFill>
              <w14:schemeClr w14:val="tx1"/>
            </w14:solidFill>
          </w14:textFill>
        </w:rPr>
      </w:pPr>
      <w:r>
        <w:rPr>
          <w:rFonts w:hint="default" w:ascii="Times New Roman" w:hAnsi="Times New Roman" w:cs="Times New Roman" w:eastAsiaTheme="majorEastAsia"/>
          <w:b/>
          <w:bCs/>
          <w:color w:val="000000" w:themeColor="text1"/>
          <w:sz w:val="44"/>
          <w:szCs w:val="44"/>
          <w14:textFill>
            <w14:solidFill>
              <w14:schemeClr w14:val="tx1"/>
            </w14:solidFill>
          </w14:textFill>
        </w:rPr>
        <w:t>202</w:t>
      </w:r>
      <w:r>
        <w:rPr>
          <w:rFonts w:hint="eastAsia" w:cs="Times New Roman" w:eastAsiaTheme="majorEastAsia"/>
          <w:b/>
          <w:bCs/>
          <w:color w:val="000000" w:themeColor="text1"/>
          <w:sz w:val="44"/>
          <w:szCs w:val="44"/>
          <w:lang w:val="en-US" w:eastAsia="zh-CN"/>
          <w14:textFill>
            <w14:solidFill>
              <w14:schemeClr w14:val="tx1"/>
            </w14:solidFill>
          </w14:textFill>
        </w:rPr>
        <w:t>6</w:t>
      </w:r>
      <w:r>
        <w:rPr>
          <w:rFonts w:hint="default" w:ascii="Times New Roman" w:hAnsi="Times New Roman" w:cs="Times New Roman" w:eastAsiaTheme="majorEastAsia"/>
          <w:b/>
          <w:bCs/>
          <w:color w:val="000000" w:themeColor="text1"/>
          <w:sz w:val="44"/>
          <w:szCs w:val="44"/>
          <w14:textFill>
            <w14:solidFill>
              <w14:schemeClr w14:val="tx1"/>
            </w14:solidFill>
          </w14:textFill>
        </w:rPr>
        <w:t>年度预算明细表</w:t>
      </w:r>
    </w:p>
    <w:p w14:paraId="52FD31D6">
      <w:pPr>
        <w:jc w:val="center"/>
        <w:rPr>
          <w:rFonts w:ascii="方正小标宋简体" w:hAnsi="仿宋" w:eastAsia="方正小标宋简体"/>
          <w:color w:val="000000" w:themeColor="text1"/>
          <w:sz w:val="44"/>
          <w:szCs w:val="44"/>
          <w14:textFill>
            <w14:solidFill>
              <w14:schemeClr w14:val="tx1"/>
            </w14:solidFill>
          </w14:textFill>
        </w:rPr>
      </w:pPr>
      <w:r>
        <w:rPr>
          <w:rFonts w:hint="eastAsia" w:ascii="方正小标宋简体" w:hAnsi="仿宋" w:eastAsia="方正小标宋简体"/>
          <w:color w:val="000000" w:themeColor="text1"/>
          <w:sz w:val="44"/>
          <w:szCs w:val="44"/>
          <w14:textFill>
            <w14:solidFill>
              <w14:schemeClr w14:val="tx1"/>
            </w14:solidFill>
          </w14:textFill>
        </w:rPr>
        <w:t>（表格详见附件）</w:t>
      </w:r>
    </w:p>
    <w:p w14:paraId="36C3BF3E">
      <w:pPr>
        <w:ind w:firstLine="560" w:firstLineChars="200"/>
        <w:rPr>
          <w:rFonts w:ascii="仿宋" w:hAnsi="仿宋" w:eastAsia="仿宋"/>
          <w:color w:val="000000" w:themeColor="text1"/>
          <w:sz w:val="28"/>
          <w:szCs w:val="28"/>
          <w14:textFill>
            <w14:solidFill>
              <w14:schemeClr w14:val="tx1"/>
            </w14:solidFill>
          </w14:textFill>
        </w:rPr>
      </w:pPr>
    </w:p>
    <w:p w14:paraId="2341FC86">
      <w:pPr>
        <w:ind w:firstLine="480" w:firstLineChars="15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kern w:val="0"/>
          <w:sz w:val="32"/>
          <w14:textFill>
            <w14:solidFill>
              <w14:schemeClr w14:val="tx1"/>
            </w14:solidFill>
          </w14:textFill>
        </w:rPr>
        <w:t xml:space="preserve">   </w:t>
      </w:r>
    </w:p>
    <w:p w14:paraId="09D9527D">
      <w:pPr>
        <w:spacing w:line="560" w:lineRule="auto"/>
        <w:jc w:val="center"/>
        <w:rPr>
          <w:rFonts w:hint="default" w:ascii="Times New Roman" w:hAnsi="Times New Roman" w:cs="Times New Roman" w:eastAsiaTheme="majorEastAsia"/>
          <w:b/>
          <w:bCs/>
          <w:color w:val="000000" w:themeColor="text1"/>
          <w:sz w:val="44"/>
          <w:szCs w:val="44"/>
          <w14:textFill>
            <w14:solidFill>
              <w14:schemeClr w14:val="tx1"/>
            </w14:solidFill>
          </w14:textFill>
        </w:rPr>
      </w:pPr>
    </w:p>
    <w:p w14:paraId="6C065711">
      <w:pPr>
        <w:spacing w:line="560" w:lineRule="auto"/>
        <w:jc w:val="center"/>
        <w:rPr>
          <w:rFonts w:hint="default" w:ascii="Times New Roman" w:hAnsi="Times New Roman" w:cs="Times New Roman" w:eastAsiaTheme="majorEastAsia"/>
          <w:b/>
          <w:bCs/>
          <w:color w:val="000000" w:themeColor="text1"/>
          <w:sz w:val="44"/>
          <w:szCs w:val="44"/>
          <w14:textFill>
            <w14:solidFill>
              <w14:schemeClr w14:val="tx1"/>
            </w14:solidFill>
          </w14:textFill>
        </w:rPr>
      </w:pPr>
    </w:p>
    <w:p w14:paraId="1C05A776">
      <w:pPr>
        <w:spacing w:line="560" w:lineRule="auto"/>
        <w:jc w:val="center"/>
        <w:rPr>
          <w:rFonts w:hint="default" w:ascii="Times New Roman" w:hAnsi="Times New Roman" w:cs="Times New Roman" w:eastAsiaTheme="majorEastAsia"/>
          <w:b/>
          <w:bCs/>
          <w:color w:val="000000" w:themeColor="text1"/>
          <w:sz w:val="44"/>
          <w:szCs w:val="44"/>
          <w14:textFill>
            <w14:solidFill>
              <w14:schemeClr w14:val="tx1"/>
            </w14:solidFill>
          </w14:textFill>
        </w:rPr>
      </w:pPr>
    </w:p>
    <w:p w14:paraId="46C8DED0">
      <w:pPr>
        <w:spacing w:line="560" w:lineRule="auto"/>
        <w:jc w:val="center"/>
        <w:rPr>
          <w:rFonts w:hint="default" w:ascii="Times New Roman" w:hAnsi="Times New Roman" w:cs="Times New Roman" w:eastAsiaTheme="majorEastAsia"/>
          <w:b/>
          <w:bCs/>
          <w:color w:val="000000" w:themeColor="text1"/>
          <w:sz w:val="44"/>
          <w:szCs w:val="44"/>
          <w14:textFill>
            <w14:solidFill>
              <w14:schemeClr w14:val="tx1"/>
            </w14:solidFill>
          </w14:textFill>
        </w:rPr>
      </w:pPr>
    </w:p>
    <w:p w14:paraId="1510120E">
      <w:pPr>
        <w:spacing w:line="560" w:lineRule="auto"/>
        <w:jc w:val="center"/>
        <w:rPr>
          <w:rFonts w:hint="default" w:ascii="Times New Roman" w:hAnsi="Times New Roman" w:cs="Times New Roman" w:eastAsiaTheme="majorEastAsia"/>
          <w:b/>
          <w:bCs/>
          <w:color w:val="000000" w:themeColor="text1"/>
          <w:sz w:val="44"/>
          <w:szCs w:val="44"/>
          <w14:textFill>
            <w14:solidFill>
              <w14:schemeClr w14:val="tx1"/>
            </w14:solidFill>
          </w14:textFill>
        </w:rPr>
      </w:pPr>
    </w:p>
    <w:p w14:paraId="7C6816DB">
      <w:pPr>
        <w:spacing w:line="560" w:lineRule="auto"/>
        <w:jc w:val="center"/>
        <w:rPr>
          <w:rFonts w:hint="default" w:ascii="Times New Roman" w:hAnsi="Times New Roman" w:cs="Times New Roman" w:eastAsiaTheme="majorEastAsia"/>
          <w:b/>
          <w:bCs/>
          <w:color w:val="000000" w:themeColor="text1"/>
          <w:sz w:val="44"/>
          <w:szCs w:val="44"/>
          <w14:textFill>
            <w14:solidFill>
              <w14:schemeClr w14:val="tx1"/>
            </w14:solidFill>
          </w14:textFill>
        </w:rPr>
      </w:pPr>
    </w:p>
    <w:p w14:paraId="198139D6">
      <w:pPr>
        <w:spacing w:line="560" w:lineRule="auto"/>
        <w:jc w:val="center"/>
        <w:rPr>
          <w:rFonts w:hint="default" w:ascii="Times New Roman" w:hAnsi="Times New Roman" w:cs="Times New Roman" w:eastAsiaTheme="majorEastAsia"/>
          <w:b/>
          <w:bCs/>
          <w:color w:val="000000" w:themeColor="text1"/>
          <w:sz w:val="44"/>
          <w:szCs w:val="44"/>
          <w14:textFill>
            <w14:solidFill>
              <w14:schemeClr w14:val="tx1"/>
            </w14:solidFill>
          </w14:textFill>
        </w:rPr>
      </w:pPr>
    </w:p>
    <w:p w14:paraId="675190E3">
      <w:pPr>
        <w:spacing w:line="560" w:lineRule="auto"/>
        <w:jc w:val="center"/>
        <w:rPr>
          <w:rFonts w:hint="default" w:ascii="Times New Roman" w:hAnsi="Times New Roman" w:cs="Times New Roman" w:eastAsiaTheme="majorEastAsia"/>
          <w:b/>
          <w:bCs/>
          <w:color w:val="000000" w:themeColor="text1"/>
          <w:sz w:val="44"/>
          <w:szCs w:val="44"/>
          <w14:textFill>
            <w14:solidFill>
              <w14:schemeClr w14:val="tx1"/>
            </w14:solidFill>
          </w14:textFill>
        </w:rPr>
      </w:pPr>
    </w:p>
    <w:p w14:paraId="2346A7BA">
      <w:pPr>
        <w:spacing w:line="560" w:lineRule="auto"/>
        <w:jc w:val="center"/>
        <w:rPr>
          <w:rFonts w:hint="default" w:ascii="Times New Roman" w:hAnsi="Times New Roman" w:cs="Times New Roman" w:eastAsiaTheme="majorEastAsia"/>
          <w:b/>
          <w:bCs/>
          <w:color w:val="000000" w:themeColor="text1"/>
          <w:sz w:val="44"/>
          <w:szCs w:val="44"/>
          <w14:textFill>
            <w14:solidFill>
              <w14:schemeClr w14:val="tx1"/>
            </w14:solidFill>
          </w14:textFill>
        </w:rPr>
      </w:pPr>
    </w:p>
    <w:p w14:paraId="5601061B">
      <w:pPr>
        <w:spacing w:line="560" w:lineRule="auto"/>
        <w:jc w:val="center"/>
        <w:rPr>
          <w:rFonts w:hint="default" w:ascii="Times New Roman" w:hAnsi="Times New Roman" w:cs="Times New Roman" w:eastAsiaTheme="majorEastAsia"/>
          <w:b/>
          <w:bCs/>
          <w:color w:val="000000" w:themeColor="text1"/>
          <w:sz w:val="44"/>
          <w:szCs w:val="44"/>
          <w14:textFill>
            <w14:solidFill>
              <w14:schemeClr w14:val="tx1"/>
            </w14:solidFill>
          </w14:textFill>
        </w:rPr>
      </w:pPr>
    </w:p>
    <w:p w14:paraId="04F42AB9">
      <w:pPr>
        <w:spacing w:line="560" w:lineRule="auto"/>
        <w:jc w:val="both"/>
        <w:rPr>
          <w:rFonts w:hint="default" w:ascii="Times New Roman" w:hAnsi="Times New Roman" w:cs="Times New Roman" w:eastAsiaTheme="majorEastAsia"/>
          <w:b/>
          <w:bCs/>
          <w:color w:val="000000" w:themeColor="text1"/>
          <w:sz w:val="44"/>
          <w:szCs w:val="44"/>
          <w14:textFill>
            <w14:solidFill>
              <w14:schemeClr w14:val="tx1"/>
            </w14:solidFill>
          </w14:textFill>
        </w:rPr>
      </w:pPr>
    </w:p>
    <w:p w14:paraId="07684722">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第三部</w:t>
      </w:r>
    </w:p>
    <w:p w14:paraId="0CB8100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那曲市双湖县</w:t>
      </w: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人民检察院</w:t>
      </w:r>
    </w:p>
    <w:p w14:paraId="2A549572">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202</w:t>
      </w: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6</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年度部门预算数据分析</w:t>
      </w:r>
    </w:p>
    <w:p w14:paraId="78E0F766">
      <w:pPr>
        <w:ind w:firstLine="640" w:firstLineChars="200"/>
        <w:rPr>
          <w:rFonts w:ascii="仿宋" w:hAnsi="仿宋" w:eastAsia="仿宋"/>
          <w:color w:val="000000" w:themeColor="text1"/>
          <w:sz w:val="32"/>
          <w:szCs w:val="32"/>
          <w:highlight w:val="yellow"/>
          <w14:textFill>
            <w14:solidFill>
              <w14:schemeClr w14:val="tx1"/>
            </w14:solidFill>
          </w14:textFill>
        </w:rPr>
      </w:pPr>
      <w:r>
        <w:rPr>
          <w:rFonts w:hint="eastAsia" w:ascii="方正黑体简体" w:hAnsi="方正黑体简体" w:eastAsia="方正黑体简体" w:cs="方正黑体简体"/>
          <w:color w:val="000000" w:themeColor="text1"/>
          <w:sz w:val="32"/>
          <w:szCs w:val="32"/>
          <w14:textFill>
            <w14:solidFill>
              <w14:schemeClr w14:val="tx1"/>
            </w14:solidFill>
          </w14:textFill>
        </w:rPr>
        <w:t>一、202</w:t>
      </w:r>
      <w:r>
        <w:rPr>
          <w:rFonts w:hint="eastAsia" w:ascii="方正黑体简体" w:hAnsi="方正黑体简体" w:eastAsia="方正黑体简体" w:cs="方正黑体简体"/>
          <w:color w:val="000000" w:themeColor="text1"/>
          <w:sz w:val="32"/>
          <w:szCs w:val="32"/>
          <w:lang w:val="en-US" w:eastAsia="zh-CN"/>
          <w14:textFill>
            <w14:solidFill>
              <w14:schemeClr w14:val="tx1"/>
            </w14:solidFill>
          </w14:textFill>
        </w:rPr>
        <w:t>6</w:t>
      </w:r>
      <w:r>
        <w:rPr>
          <w:rFonts w:hint="eastAsia" w:ascii="方正黑体简体" w:hAnsi="方正黑体简体" w:eastAsia="方正黑体简体" w:cs="方正黑体简体"/>
          <w:color w:val="000000" w:themeColor="text1"/>
          <w:sz w:val="32"/>
          <w:szCs w:val="32"/>
          <w14:textFill>
            <w14:solidFill>
              <w14:schemeClr w14:val="tx1"/>
            </w14:solidFill>
          </w14:textFill>
        </w:rPr>
        <w:t>年部门收支总表的说明</w:t>
      </w:r>
    </w:p>
    <w:p w14:paraId="06DA1CEB">
      <w:pPr>
        <w:ind w:firstLine="640" w:firstLineChars="200"/>
        <w:rPr>
          <w:rFonts w:hint="default" w:ascii="Times New Roman" w:hAnsi="Times New Roman" w:eastAsia="方正仿宋简体" w:cs="Times New Roman"/>
          <w:color w:val="000000" w:themeColor="text1"/>
          <w:sz w:val="32"/>
          <w:szCs w:val="32"/>
          <w:highlight w:val="red"/>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202</w:t>
      </w:r>
      <w:r>
        <w:rPr>
          <w:rFonts w:hint="eastAsia" w:eastAsia="方正仿宋简体" w:cs="Times New Roman"/>
          <w:color w:val="000000" w:themeColor="text1"/>
          <w:sz w:val="32"/>
          <w:szCs w:val="32"/>
          <w:lang w:val="en-US" w:eastAsia="zh-CN"/>
          <w14:textFill>
            <w14:solidFill>
              <w14:schemeClr w14:val="tx1"/>
            </w14:solidFill>
          </w14:textFill>
        </w:rPr>
        <w:t>6</w:t>
      </w:r>
      <w:r>
        <w:rPr>
          <w:rFonts w:hint="default" w:ascii="Times New Roman" w:hAnsi="Times New Roman" w:eastAsia="方正仿宋简体" w:cs="Times New Roman"/>
          <w:color w:val="000000" w:themeColor="text1"/>
          <w:sz w:val="32"/>
          <w:szCs w:val="32"/>
          <w14:textFill>
            <w14:solidFill>
              <w14:schemeClr w14:val="tx1"/>
            </w14:solidFill>
          </w14:textFill>
        </w:rPr>
        <w:t>年部门</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收支总</w:t>
      </w:r>
      <w:r>
        <w:rPr>
          <w:rFonts w:hint="default" w:ascii="Times New Roman" w:hAnsi="Times New Roman" w:eastAsia="方正仿宋简体" w:cs="Times New Roman"/>
          <w:color w:val="000000" w:themeColor="text1"/>
          <w:sz w:val="32"/>
          <w:szCs w:val="32"/>
          <w14:textFill>
            <w14:solidFill>
              <w14:schemeClr w14:val="tx1"/>
            </w14:solidFill>
          </w14:textFill>
        </w:rPr>
        <w:t>预算为</w:t>
      </w:r>
      <w:r>
        <w:rPr>
          <w:rFonts w:hint="eastAsia" w:eastAsia="方正仿宋简体" w:cs="Times New Roman"/>
          <w:color w:val="000000" w:themeColor="text1"/>
          <w:sz w:val="32"/>
          <w:szCs w:val="32"/>
          <w:lang w:val="en-US" w:eastAsia="zh-CN"/>
          <w14:textFill>
            <w14:solidFill>
              <w14:schemeClr w14:val="tx1"/>
            </w14:solidFill>
          </w14:textFill>
        </w:rPr>
        <w:t>503.82</w:t>
      </w:r>
      <w:r>
        <w:rPr>
          <w:rFonts w:hint="default" w:ascii="Times New Roman" w:hAnsi="Times New Roman" w:eastAsia="方正仿宋简体" w:cs="Times New Roman"/>
          <w:color w:val="000000" w:themeColor="text1"/>
          <w:sz w:val="32"/>
          <w:szCs w:val="32"/>
          <w14:textFill>
            <w14:solidFill>
              <w14:schemeClr w14:val="tx1"/>
            </w14:solidFill>
          </w14:textFill>
        </w:rPr>
        <w:t>万元</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eastAsia" w:eastAsia="方正仿宋简体" w:cs="Times New Roman"/>
          <w:color w:val="000000" w:themeColor="text1"/>
          <w:sz w:val="32"/>
          <w:szCs w:val="32"/>
          <w:lang w:val="en-US" w:eastAsia="zh-CN"/>
          <w14:textFill>
            <w14:solidFill>
              <w14:schemeClr w14:val="tx1"/>
            </w14:solidFill>
          </w14:textFill>
        </w:rPr>
        <w:t>包括基本支出、</w:t>
      </w: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项目经费</w:t>
      </w:r>
      <w:r>
        <w:rPr>
          <w:rFonts w:hint="eastAsia" w:eastAsia="方正仿宋简体" w:cs="Times New Roman"/>
          <w:color w:val="000000" w:themeColor="text1"/>
          <w:sz w:val="32"/>
          <w:szCs w:val="32"/>
          <w:highlight w:val="none"/>
          <w:lang w:val="en-US" w:eastAsia="zh-CN"/>
          <w14:textFill>
            <w14:solidFill>
              <w14:schemeClr w14:val="tx1"/>
            </w14:solidFill>
          </w14:textFill>
        </w:rPr>
        <w:t>等</w:t>
      </w: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w:t>
      </w:r>
    </w:p>
    <w:p w14:paraId="46F98D55">
      <w:pPr>
        <w:ind w:firstLine="640" w:firstLineChars="200"/>
        <w:rPr>
          <w:rFonts w:hint="eastAsia" w:ascii="方正黑体简体" w:hAnsi="方正黑体简体" w:eastAsia="方正黑体简体" w:cs="方正黑体简体"/>
          <w:color w:val="000000" w:themeColor="text1"/>
          <w:sz w:val="32"/>
          <w:szCs w:val="32"/>
          <w14:textFill>
            <w14:solidFill>
              <w14:schemeClr w14:val="tx1"/>
            </w14:solidFill>
          </w14:textFill>
        </w:rPr>
      </w:pPr>
      <w:r>
        <w:rPr>
          <w:rFonts w:hint="eastAsia" w:ascii="方正黑体简体" w:hAnsi="方正黑体简体" w:eastAsia="方正黑体简体" w:cs="方正黑体简体"/>
          <w:color w:val="000000" w:themeColor="text1"/>
          <w:sz w:val="32"/>
          <w:szCs w:val="32"/>
          <w14:textFill>
            <w14:solidFill>
              <w14:schemeClr w14:val="tx1"/>
            </w14:solidFill>
          </w14:textFill>
        </w:rPr>
        <w:t>二、</w:t>
      </w:r>
      <w:r>
        <w:rPr>
          <w:rFonts w:hint="eastAsia" w:ascii="方正黑体简体" w:hAnsi="方正黑体简体" w:eastAsia="方正黑体简体" w:cs="方正黑体简体"/>
          <w:color w:val="000000" w:themeColor="text1"/>
          <w:sz w:val="32"/>
          <w:szCs w:val="32"/>
          <w:lang w:eastAsia="zh-CN"/>
          <w14:textFill>
            <w14:solidFill>
              <w14:schemeClr w14:val="tx1"/>
            </w14:solidFill>
          </w14:textFill>
        </w:rPr>
        <w:t>202</w:t>
      </w:r>
      <w:r>
        <w:rPr>
          <w:rFonts w:hint="eastAsia" w:ascii="方正黑体简体" w:hAnsi="方正黑体简体" w:eastAsia="方正黑体简体" w:cs="方正黑体简体"/>
          <w:color w:val="000000" w:themeColor="text1"/>
          <w:sz w:val="32"/>
          <w:szCs w:val="32"/>
          <w:lang w:val="en-US" w:eastAsia="zh-CN"/>
          <w14:textFill>
            <w14:solidFill>
              <w14:schemeClr w14:val="tx1"/>
            </w14:solidFill>
          </w14:textFill>
        </w:rPr>
        <w:t>6</w:t>
      </w:r>
      <w:r>
        <w:rPr>
          <w:rFonts w:hint="eastAsia" w:ascii="方正黑体简体" w:hAnsi="方正黑体简体" w:eastAsia="方正黑体简体" w:cs="方正黑体简体"/>
          <w:color w:val="000000" w:themeColor="text1"/>
          <w:sz w:val="32"/>
          <w:szCs w:val="32"/>
          <w14:textFill>
            <w14:solidFill>
              <w14:schemeClr w14:val="tx1"/>
            </w14:solidFill>
          </w14:textFill>
        </w:rPr>
        <w:t>年度部门收入总表的说明</w:t>
      </w:r>
    </w:p>
    <w:p w14:paraId="4B0D7CB8">
      <w:pPr>
        <w:ind w:firstLine="640" w:firstLineChars="200"/>
        <w:rPr>
          <w:rFonts w:ascii="仿宋" w:hAnsi="仿宋" w:eastAsia="仿宋"/>
          <w:color w:val="000000" w:themeColor="text1"/>
          <w:sz w:val="32"/>
          <w:szCs w:val="32"/>
          <w14:textFill>
            <w14:solidFill>
              <w14:schemeClr w14:val="tx1"/>
            </w14:solidFill>
          </w14:textFill>
        </w:rPr>
      </w:pPr>
      <w:r>
        <w:rPr>
          <w:rFonts w:hint="eastAsia" w:eastAsia="方正仿宋简体" w:cs="Times New Roman"/>
          <w:color w:val="000000" w:themeColor="text1"/>
          <w:sz w:val="32"/>
          <w:szCs w:val="32"/>
          <w:lang w:val="en-US" w:eastAsia="zh-CN"/>
          <w14:textFill>
            <w14:solidFill>
              <w14:schemeClr w14:val="tx1"/>
            </w14:solidFill>
          </w14:textFill>
        </w:rPr>
        <w:t>2026年</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总</w:t>
      </w:r>
      <w:r>
        <w:rPr>
          <w:rFonts w:hint="eastAsia" w:ascii="Times New Roman" w:hAnsi="Times New Roman" w:eastAsia="方正仿宋简体" w:cs="Times New Roman"/>
          <w:color w:val="000000" w:themeColor="text1"/>
          <w:sz w:val="32"/>
          <w:szCs w:val="32"/>
          <w14:textFill>
            <w14:solidFill>
              <w14:schemeClr w14:val="tx1"/>
            </w14:solidFill>
          </w14:textFill>
        </w:rPr>
        <w:t>收入预算</w:t>
      </w:r>
      <w:r>
        <w:rPr>
          <w:rFonts w:hint="eastAsia" w:eastAsia="方正仿宋简体" w:cs="Times New Roman"/>
          <w:color w:val="000000" w:themeColor="text1"/>
          <w:sz w:val="32"/>
          <w:szCs w:val="32"/>
          <w:lang w:val="en-US" w:eastAsia="zh-CN"/>
          <w14:textFill>
            <w14:solidFill>
              <w14:schemeClr w14:val="tx1"/>
            </w14:solidFill>
          </w14:textFill>
        </w:rPr>
        <w:t>652.35</w:t>
      </w:r>
      <w:r>
        <w:rPr>
          <w:rFonts w:hint="eastAsia" w:ascii="Times New Roman" w:hAnsi="Times New Roman" w:eastAsia="方正仿宋简体" w:cs="Times New Roman"/>
          <w:color w:val="000000" w:themeColor="text1"/>
          <w:sz w:val="32"/>
          <w:szCs w:val="32"/>
          <w14:textFill>
            <w14:solidFill>
              <w14:schemeClr w14:val="tx1"/>
            </w14:solidFill>
          </w14:textFill>
        </w:rPr>
        <w:t>万元，其中</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简体" w:cs="Times New Roman"/>
          <w:color w:val="000000" w:themeColor="text1"/>
          <w:sz w:val="32"/>
          <w:szCs w:val="32"/>
          <w14:textFill>
            <w14:solidFill>
              <w14:schemeClr w14:val="tx1"/>
            </w14:solidFill>
          </w14:textFill>
        </w:rPr>
        <w:t>一般公共预算</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当年</w:t>
      </w:r>
      <w:r>
        <w:rPr>
          <w:rFonts w:hint="eastAsia" w:ascii="Times New Roman" w:hAnsi="Times New Roman" w:eastAsia="方正仿宋简体" w:cs="Times New Roman"/>
          <w:color w:val="000000" w:themeColor="text1"/>
          <w:sz w:val="32"/>
          <w:szCs w:val="32"/>
          <w14:textFill>
            <w14:solidFill>
              <w14:schemeClr w14:val="tx1"/>
            </w14:solidFill>
          </w14:textFill>
        </w:rPr>
        <w:t>拨款收入</w:t>
      </w:r>
      <w:r>
        <w:rPr>
          <w:rFonts w:hint="eastAsia" w:eastAsia="方正仿宋简体" w:cs="Times New Roman"/>
          <w:color w:val="000000" w:themeColor="text1"/>
          <w:sz w:val="32"/>
          <w:szCs w:val="32"/>
          <w:lang w:val="en-US" w:eastAsia="zh-CN"/>
          <w14:textFill>
            <w14:solidFill>
              <w14:schemeClr w14:val="tx1"/>
            </w14:solidFill>
          </w14:textFill>
        </w:rPr>
        <w:t>519.20</w:t>
      </w:r>
      <w:r>
        <w:rPr>
          <w:rFonts w:hint="eastAsia" w:ascii="Times New Roman" w:hAnsi="Times New Roman" w:eastAsia="方正仿宋简体" w:cs="Times New Roman"/>
          <w:color w:val="000000" w:themeColor="text1"/>
          <w:sz w:val="32"/>
          <w:szCs w:val="32"/>
          <w14:textFill>
            <w14:solidFill>
              <w14:schemeClr w14:val="tx1"/>
            </w14:solidFill>
          </w14:textFill>
        </w:rPr>
        <w:t>万元，占</w:t>
      </w:r>
      <w:r>
        <w:rPr>
          <w:rFonts w:hint="eastAsia" w:eastAsia="方正仿宋简体" w:cs="Times New Roman"/>
          <w:color w:val="000000" w:themeColor="text1"/>
          <w:sz w:val="32"/>
          <w:szCs w:val="32"/>
          <w:lang w:val="en-US" w:eastAsia="zh-CN"/>
          <w14:textFill>
            <w14:solidFill>
              <w14:schemeClr w14:val="tx1"/>
            </w14:solidFill>
          </w14:textFill>
        </w:rPr>
        <w:t>79.59</w:t>
      </w:r>
      <w:r>
        <w:rPr>
          <w:rFonts w:hint="eastAsia" w:ascii="Times New Roman" w:hAnsi="Times New Roman" w:eastAsia="方正仿宋简体" w:cs="Times New Roman"/>
          <w:color w:val="000000" w:themeColor="text1"/>
          <w:sz w:val="32"/>
          <w:szCs w:val="32"/>
          <w14:textFill>
            <w14:solidFill>
              <w14:schemeClr w14:val="tx1"/>
            </w14:solidFill>
          </w14:textFill>
        </w:rPr>
        <w:t>%</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简体" w:cs="Times New Roman"/>
          <w:color w:val="000000" w:themeColor="text1"/>
          <w:sz w:val="32"/>
          <w:szCs w:val="32"/>
          <w14:textFill>
            <w14:solidFill>
              <w14:schemeClr w14:val="tx1"/>
            </w14:solidFill>
          </w14:textFill>
        </w:rPr>
        <w:t>上年结转</w:t>
      </w:r>
      <w:r>
        <w:rPr>
          <w:rFonts w:hint="eastAsia" w:eastAsia="方正仿宋简体" w:cs="Times New Roman"/>
          <w:color w:val="000000" w:themeColor="text1"/>
          <w:sz w:val="32"/>
          <w:szCs w:val="32"/>
          <w:lang w:eastAsia="zh-CN"/>
          <w14:textFill>
            <w14:solidFill>
              <w14:schemeClr w14:val="tx1"/>
            </w14:solidFill>
          </w14:textFill>
        </w:rPr>
        <w:t>结余资金</w:t>
      </w:r>
      <w:r>
        <w:rPr>
          <w:rFonts w:hint="eastAsia" w:eastAsia="方正仿宋简体" w:cs="Times New Roman"/>
          <w:color w:val="000000" w:themeColor="text1"/>
          <w:sz w:val="32"/>
          <w:szCs w:val="32"/>
          <w:lang w:val="en-US" w:eastAsia="zh-CN"/>
          <w14:textFill>
            <w14:solidFill>
              <w14:schemeClr w14:val="tx1"/>
            </w14:solidFill>
          </w14:textFill>
        </w:rPr>
        <w:t>133.15</w:t>
      </w:r>
      <w:r>
        <w:rPr>
          <w:rFonts w:hint="eastAsia" w:ascii="Times New Roman" w:hAnsi="Times New Roman" w:eastAsia="方正仿宋简体" w:cs="Times New Roman"/>
          <w:color w:val="000000" w:themeColor="text1"/>
          <w:sz w:val="32"/>
          <w:szCs w:val="32"/>
          <w14:textFill>
            <w14:solidFill>
              <w14:schemeClr w14:val="tx1"/>
            </w14:solidFill>
          </w14:textFill>
        </w:rPr>
        <w:t>万元</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简体" w:cs="Times New Roman"/>
          <w:color w:val="000000" w:themeColor="text1"/>
          <w:sz w:val="32"/>
          <w:szCs w:val="32"/>
          <w14:textFill>
            <w14:solidFill>
              <w14:schemeClr w14:val="tx1"/>
            </w14:solidFill>
          </w14:textFill>
        </w:rPr>
        <w:t>占</w:t>
      </w:r>
      <w:r>
        <w:rPr>
          <w:rFonts w:hint="eastAsia" w:eastAsia="方正仿宋简体" w:cs="Times New Roman"/>
          <w:color w:val="000000" w:themeColor="text1"/>
          <w:sz w:val="32"/>
          <w:szCs w:val="32"/>
          <w:lang w:val="en-US" w:eastAsia="zh-CN"/>
          <w14:textFill>
            <w14:solidFill>
              <w14:schemeClr w14:val="tx1"/>
            </w14:solidFill>
          </w14:textFill>
        </w:rPr>
        <w:t>20.41</w:t>
      </w:r>
      <w:r>
        <w:rPr>
          <w:rFonts w:hint="eastAsia" w:ascii="Times New Roman" w:hAnsi="Times New Roman" w:eastAsia="方正仿宋简体" w:cs="Times New Roman"/>
          <w:color w:val="000000" w:themeColor="text1"/>
          <w:sz w:val="32"/>
          <w:szCs w:val="32"/>
          <w14:textFill>
            <w14:solidFill>
              <w14:schemeClr w14:val="tx1"/>
            </w14:solidFill>
          </w14:textFill>
        </w:rPr>
        <w:t>%</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 xml:space="preserve"> </w:t>
      </w:r>
    </w:p>
    <w:p w14:paraId="5CDDBB24">
      <w:pPr>
        <w:ind w:firstLine="640" w:firstLineChars="200"/>
        <w:rPr>
          <w:rFonts w:hint="eastAsia" w:ascii="方正黑体简体" w:hAnsi="方正黑体简体" w:eastAsia="方正黑体简体" w:cs="方正黑体简体"/>
          <w:color w:val="000000" w:themeColor="text1"/>
          <w:sz w:val="32"/>
          <w:szCs w:val="32"/>
          <w14:textFill>
            <w14:solidFill>
              <w14:schemeClr w14:val="tx1"/>
            </w14:solidFill>
          </w14:textFill>
        </w:rPr>
      </w:pPr>
      <w:r>
        <w:rPr>
          <w:rFonts w:hint="eastAsia" w:ascii="方正黑体简体" w:hAnsi="方正黑体简体" w:eastAsia="方正黑体简体" w:cs="方正黑体简体"/>
          <w:color w:val="000000" w:themeColor="text1"/>
          <w:sz w:val="32"/>
          <w:szCs w:val="32"/>
          <w14:textFill>
            <w14:solidFill>
              <w14:schemeClr w14:val="tx1"/>
            </w14:solidFill>
          </w14:textFill>
        </w:rPr>
        <w:t>三、</w:t>
      </w:r>
      <w:r>
        <w:rPr>
          <w:rFonts w:hint="eastAsia" w:ascii="方正黑体简体" w:hAnsi="方正黑体简体" w:eastAsia="方正黑体简体" w:cs="方正黑体简体"/>
          <w:color w:val="000000" w:themeColor="text1"/>
          <w:sz w:val="32"/>
          <w:szCs w:val="32"/>
          <w:lang w:eastAsia="zh-CN"/>
          <w14:textFill>
            <w14:solidFill>
              <w14:schemeClr w14:val="tx1"/>
            </w14:solidFill>
          </w14:textFill>
        </w:rPr>
        <w:t>202</w:t>
      </w:r>
      <w:r>
        <w:rPr>
          <w:rFonts w:hint="eastAsia" w:ascii="方正黑体简体" w:hAnsi="方正黑体简体" w:eastAsia="方正黑体简体" w:cs="方正黑体简体"/>
          <w:color w:val="000000" w:themeColor="text1"/>
          <w:sz w:val="32"/>
          <w:szCs w:val="32"/>
          <w:lang w:val="en-US" w:eastAsia="zh-CN"/>
          <w14:textFill>
            <w14:solidFill>
              <w14:schemeClr w14:val="tx1"/>
            </w14:solidFill>
          </w14:textFill>
        </w:rPr>
        <w:t>6</w:t>
      </w:r>
      <w:r>
        <w:rPr>
          <w:rFonts w:hint="eastAsia" w:ascii="方正黑体简体" w:hAnsi="方正黑体简体" w:eastAsia="方正黑体简体" w:cs="方正黑体简体"/>
          <w:color w:val="000000" w:themeColor="text1"/>
          <w:sz w:val="32"/>
          <w:szCs w:val="32"/>
          <w14:textFill>
            <w14:solidFill>
              <w14:schemeClr w14:val="tx1"/>
            </w14:solidFill>
          </w14:textFill>
        </w:rPr>
        <w:t>年部门支出总表的说明</w:t>
      </w:r>
    </w:p>
    <w:p w14:paraId="4B4571C7">
      <w:pPr>
        <w:ind w:firstLine="640" w:firstLineChars="200"/>
        <w:rPr>
          <w:rFonts w:hint="default" w:ascii="Times New Roman" w:hAnsi="Times New Roman" w:eastAsia="方正仿宋简体" w:cs="Times New Roman"/>
          <w:color w:val="000000" w:themeColor="text1"/>
          <w:sz w:val="28"/>
          <w:szCs w:val="28"/>
          <w:highlight w:val="none"/>
          <w:lang w:val="en-US" w:eastAsia="zh-CN"/>
          <w14:textFill>
            <w14:solidFill>
              <w14:schemeClr w14:val="tx1"/>
            </w14:solidFill>
          </w14:textFill>
        </w:rPr>
      </w:pPr>
      <w:r>
        <w:rPr>
          <w:rFonts w:hint="eastAsia" w:eastAsia="方正仿宋简体" w:cs="Times New Roman"/>
          <w:color w:val="000000" w:themeColor="text1"/>
          <w:sz w:val="32"/>
          <w:szCs w:val="32"/>
          <w:lang w:eastAsia="zh-CN"/>
          <w14:textFill>
            <w14:solidFill>
              <w14:schemeClr w14:val="tx1"/>
            </w14:solidFill>
          </w14:textFill>
        </w:rPr>
        <w:t>202</w:t>
      </w:r>
      <w:r>
        <w:rPr>
          <w:rFonts w:hint="eastAsia" w:eastAsia="方正仿宋简体" w:cs="Times New Roman"/>
          <w:color w:val="000000" w:themeColor="text1"/>
          <w:sz w:val="32"/>
          <w:szCs w:val="32"/>
          <w:lang w:val="en-US" w:eastAsia="zh-CN"/>
          <w14:textFill>
            <w14:solidFill>
              <w14:schemeClr w14:val="tx1"/>
            </w14:solidFill>
          </w14:textFill>
        </w:rPr>
        <w:t>6</w:t>
      </w:r>
      <w:r>
        <w:rPr>
          <w:rFonts w:hint="default" w:ascii="Times New Roman" w:hAnsi="Times New Roman" w:eastAsia="方正仿宋简体" w:cs="Times New Roman"/>
          <w:color w:val="000000" w:themeColor="text1"/>
          <w:sz w:val="32"/>
          <w:szCs w:val="32"/>
          <w14:textFill>
            <w14:solidFill>
              <w14:schemeClr w14:val="tx1"/>
            </w14:solidFill>
          </w14:textFill>
        </w:rPr>
        <w:t>年部门</w:t>
      </w:r>
      <w:r>
        <w:rPr>
          <w:rFonts w:hint="eastAsia" w:ascii="仿宋" w:hAnsi="仿宋" w:eastAsia="仿宋"/>
          <w:sz w:val="32"/>
          <w:szCs w:val="32"/>
        </w:rPr>
        <w:t>支出</w:t>
      </w:r>
      <w:r>
        <w:rPr>
          <w:rFonts w:hint="default" w:ascii="Times New Roman" w:hAnsi="Times New Roman" w:eastAsia="方正仿宋简体" w:cs="Times New Roman"/>
          <w:color w:val="000000" w:themeColor="text1"/>
          <w:sz w:val="32"/>
          <w:szCs w:val="32"/>
          <w14:textFill>
            <w14:solidFill>
              <w14:schemeClr w14:val="tx1"/>
            </w14:solidFill>
          </w14:textFill>
        </w:rPr>
        <w:t>预算为</w:t>
      </w:r>
      <w:r>
        <w:rPr>
          <w:rFonts w:hint="eastAsia" w:eastAsia="方正仿宋简体" w:cs="Times New Roman"/>
          <w:color w:val="000000" w:themeColor="text1"/>
          <w:sz w:val="32"/>
          <w:szCs w:val="32"/>
          <w:lang w:val="en-US" w:eastAsia="zh-CN"/>
          <w14:textFill>
            <w14:solidFill>
              <w14:schemeClr w14:val="tx1"/>
            </w14:solidFill>
          </w14:textFill>
        </w:rPr>
        <w:t>652.35</w:t>
      </w:r>
      <w:r>
        <w:rPr>
          <w:rFonts w:hint="default" w:ascii="Times New Roman" w:hAnsi="Times New Roman" w:eastAsia="方正仿宋简体" w:cs="Times New Roman"/>
          <w:color w:val="000000" w:themeColor="text1"/>
          <w:sz w:val="32"/>
          <w:szCs w:val="32"/>
          <w14:textFill>
            <w14:solidFill>
              <w14:schemeClr w14:val="tx1"/>
            </w14:solidFill>
          </w14:textFill>
        </w:rPr>
        <w:t>万元</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其中</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w:t>
      </w:r>
      <w:r>
        <w:rPr>
          <w:rFonts w:hint="eastAsia" w:eastAsia="方正仿宋简体" w:cs="Times New Roman"/>
          <w:color w:val="000000" w:themeColor="text1"/>
          <w:sz w:val="32"/>
          <w:szCs w:val="32"/>
          <w:highlight w:val="none"/>
          <w:lang w:eastAsia="zh-CN"/>
          <w14:textFill>
            <w14:solidFill>
              <w14:schemeClr w14:val="tx1"/>
            </w14:solidFill>
          </w14:textFill>
        </w:rPr>
        <w:t>基本支出</w:t>
      </w:r>
      <w:r>
        <w:rPr>
          <w:rFonts w:hint="eastAsia" w:eastAsia="方正仿宋简体" w:cs="Times New Roman"/>
          <w:color w:val="000000" w:themeColor="text1"/>
          <w:sz w:val="32"/>
          <w:szCs w:val="32"/>
          <w:highlight w:val="none"/>
          <w:lang w:val="en-US" w:eastAsia="zh-CN"/>
          <w14:textFill>
            <w14:solidFill>
              <w14:schemeClr w14:val="tx1"/>
            </w14:solidFill>
          </w14:textFill>
        </w:rPr>
        <w:t>364.72万元（人员经费及日常公用经费）、占55.91%</w:t>
      </w: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；项目经费</w:t>
      </w:r>
      <w:r>
        <w:rPr>
          <w:rFonts w:hint="eastAsia" w:eastAsia="方正仿宋简体" w:cs="Times New Roman"/>
          <w:color w:val="000000" w:themeColor="text1"/>
          <w:sz w:val="32"/>
          <w:szCs w:val="32"/>
          <w:highlight w:val="none"/>
          <w:lang w:val="en-US" w:eastAsia="zh-CN"/>
          <w14:textFill>
            <w14:solidFill>
              <w14:schemeClr w14:val="tx1"/>
            </w14:solidFill>
          </w14:textFill>
        </w:rPr>
        <w:t>支出287.63</w:t>
      </w: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万元</w:t>
      </w:r>
      <w:r>
        <w:rPr>
          <w:rFonts w:hint="eastAsia" w:eastAsia="方正仿宋简体" w:cs="Times New Roman"/>
          <w:color w:val="000000" w:themeColor="text1"/>
          <w:sz w:val="32"/>
          <w:szCs w:val="32"/>
          <w:highlight w:val="none"/>
          <w:lang w:val="en-US" w:eastAsia="zh-CN"/>
          <w14:textFill>
            <w14:solidFill>
              <w14:schemeClr w14:val="tx1"/>
            </w14:solidFill>
          </w14:textFill>
        </w:rPr>
        <w:t>，占44.09%</w:t>
      </w: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w:t>
      </w:r>
    </w:p>
    <w:p w14:paraId="2D588BA2">
      <w:pPr>
        <w:ind w:firstLine="640" w:firstLineChars="200"/>
        <w:rPr>
          <w:rFonts w:hint="eastAsia" w:ascii="方正黑体简体" w:hAnsi="方正黑体简体" w:eastAsia="方正黑体简体" w:cs="方正黑体简体"/>
          <w:color w:val="000000" w:themeColor="text1"/>
          <w:sz w:val="32"/>
          <w:szCs w:val="32"/>
          <w14:textFill>
            <w14:solidFill>
              <w14:schemeClr w14:val="tx1"/>
            </w14:solidFill>
          </w14:textFill>
        </w:rPr>
      </w:pPr>
      <w:r>
        <w:rPr>
          <w:rFonts w:hint="eastAsia" w:ascii="方正黑体简体" w:hAnsi="方正黑体简体" w:eastAsia="方正黑体简体" w:cs="方正黑体简体"/>
          <w:color w:val="000000" w:themeColor="text1"/>
          <w:sz w:val="32"/>
          <w:szCs w:val="32"/>
          <w14:textFill>
            <w14:solidFill>
              <w14:schemeClr w14:val="tx1"/>
            </w14:solidFill>
          </w14:textFill>
        </w:rPr>
        <w:t>四、</w:t>
      </w:r>
      <w:r>
        <w:rPr>
          <w:rFonts w:hint="eastAsia" w:ascii="方正黑体简体" w:hAnsi="方正黑体简体" w:eastAsia="方正黑体简体" w:cs="方正黑体简体"/>
          <w:color w:val="000000" w:themeColor="text1"/>
          <w:sz w:val="32"/>
          <w:szCs w:val="32"/>
          <w:lang w:eastAsia="zh-CN"/>
          <w14:textFill>
            <w14:solidFill>
              <w14:schemeClr w14:val="tx1"/>
            </w14:solidFill>
          </w14:textFill>
        </w:rPr>
        <w:t>202</w:t>
      </w:r>
      <w:r>
        <w:rPr>
          <w:rFonts w:hint="eastAsia" w:ascii="方正黑体简体" w:hAnsi="方正黑体简体" w:eastAsia="方正黑体简体" w:cs="方正黑体简体"/>
          <w:color w:val="000000" w:themeColor="text1"/>
          <w:sz w:val="32"/>
          <w:szCs w:val="32"/>
          <w:lang w:val="en-US" w:eastAsia="zh-CN"/>
          <w14:textFill>
            <w14:solidFill>
              <w14:schemeClr w14:val="tx1"/>
            </w14:solidFill>
          </w14:textFill>
        </w:rPr>
        <w:t>6</w:t>
      </w:r>
      <w:r>
        <w:rPr>
          <w:rFonts w:hint="eastAsia" w:ascii="方正黑体简体" w:hAnsi="方正黑体简体" w:eastAsia="方正黑体简体" w:cs="方正黑体简体"/>
          <w:color w:val="000000" w:themeColor="text1"/>
          <w:sz w:val="32"/>
          <w:szCs w:val="32"/>
          <w14:textFill>
            <w14:solidFill>
              <w14:schemeClr w14:val="tx1"/>
            </w14:solidFill>
          </w14:textFill>
        </w:rPr>
        <w:t>年财政拨款收支总表的说明</w:t>
      </w:r>
    </w:p>
    <w:p w14:paraId="15E9FA64">
      <w:pPr>
        <w:ind w:firstLine="640" w:firstLineChars="200"/>
        <w:rPr>
          <w:rFonts w:hint="eastAsia" w:ascii="方正黑体简体" w:hAnsi="方正黑体简体" w:eastAsia="方正黑体简体" w:cs="方正黑体简体"/>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lang w:eastAsia="zh-CN"/>
          <w14:textFill>
            <w14:solidFill>
              <w14:schemeClr w14:val="tx1"/>
            </w14:solidFill>
          </w14:textFill>
        </w:rPr>
        <w:t>202</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年财政拨款收支总预算</w:t>
      </w:r>
      <w:r>
        <w:rPr>
          <w:rFonts w:hint="eastAsia" w:eastAsia="方正仿宋简体" w:cs="Times New Roman"/>
          <w:color w:val="000000" w:themeColor="text1"/>
          <w:sz w:val="32"/>
          <w:szCs w:val="32"/>
          <w:lang w:val="en-US" w:eastAsia="zh-CN"/>
          <w14:textFill>
            <w14:solidFill>
              <w14:schemeClr w14:val="tx1"/>
            </w14:solidFill>
          </w14:textFill>
        </w:rPr>
        <w:t>652.35</w:t>
      </w:r>
      <w:r>
        <w:rPr>
          <w:rFonts w:hint="eastAsia" w:ascii="仿宋" w:hAnsi="仿宋" w:eastAsia="仿宋" w:cs="仿宋"/>
          <w:color w:val="000000" w:themeColor="text1"/>
          <w:sz w:val="32"/>
          <w:szCs w:val="32"/>
          <w:lang w:val="en-US" w:eastAsia="zh-CN"/>
          <w14:textFill>
            <w14:solidFill>
              <w14:schemeClr w14:val="tx1"/>
            </w14:solidFill>
          </w14:textFill>
        </w:rPr>
        <w:t>万</w:t>
      </w:r>
      <w:r>
        <w:rPr>
          <w:rFonts w:hint="eastAsia" w:ascii="仿宋" w:hAnsi="仿宋" w:eastAsia="仿宋" w:cs="仿宋"/>
          <w:color w:val="000000" w:themeColor="text1"/>
          <w:sz w:val="32"/>
          <w:szCs w:val="32"/>
          <w14:textFill>
            <w14:solidFill>
              <w14:schemeClr w14:val="tx1"/>
            </w14:solidFill>
          </w14:textFill>
        </w:rPr>
        <w:t>元</w:t>
      </w:r>
      <w:r>
        <w:rPr>
          <w:rFonts w:hint="eastAsia" w:ascii="仿宋" w:hAnsi="仿宋" w:eastAsia="仿宋" w:cs="仿宋"/>
          <w:color w:val="000000" w:themeColor="text1"/>
          <w:sz w:val="32"/>
          <w:szCs w:val="32"/>
          <w:highlight w:val="none"/>
          <w14:textFill>
            <w14:solidFill>
              <w14:schemeClr w14:val="tx1"/>
            </w14:solidFill>
          </w14:textFill>
        </w:rPr>
        <w:t>。收入为一般公共预算拨款</w:t>
      </w:r>
      <w:r>
        <w:rPr>
          <w:rFonts w:hint="eastAsia" w:eastAsia="方正仿宋简体" w:cs="Times New Roman"/>
          <w:color w:val="000000" w:themeColor="text1"/>
          <w:sz w:val="32"/>
          <w:szCs w:val="32"/>
          <w:lang w:val="en-US" w:eastAsia="zh-CN"/>
          <w14:textFill>
            <w14:solidFill>
              <w14:schemeClr w14:val="tx1"/>
            </w14:solidFill>
          </w14:textFill>
        </w:rPr>
        <w:t>519.20</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上年结转</w:t>
      </w:r>
      <w:r>
        <w:rPr>
          <w:rFonts w:hint="eastAsia" w:ascii="仿宋" w:hAnsi="仿宋" w:eastAsia="仿宋" w:cs="仿宋"/>
          <w:color w:val="000000" w:themeColor="text1"/>
          <w:sz w:val="32"/>
          <w:szCs w:val="32"/>
          <w:lang w:eastAsia="zh-CN"/>
          <w14:textFill>
            <w14:solidFill>
              <w14:schemeClr w14:val="tx1"/>
            </w14:solidFill>
          </w14:textFill>
        </w:rPr>
        <w:t>结余资金</w:t>
      </w:r>
      <w:r>
        <w:rPr>
          <w:rFonts w:hint="eastAsia" w:eastAsia="方正仿宋简体" w:cs="Times New Roman"/>
          <w:color w:val="000000" w:themeColor="text1"/>
          <w:sz w:val="32"/>
          <w:szCs w:val="32"/>
          <w:lang w:val="en-US" w:eastAsia="zh-CN"/>
          <w14:textFill>
            <w14:solidFill>
              <w14:schemeClr w14:val="tx1"/>
            </w14:solidFill>
          </w14:textFill>
        </w:rPr>
        <w:t>133.15</w:t>
      </w:r>
      <w:r>
        <w:rPr>
          <w:rFonts w:hint="eastAsia" w:ascii="仿宋" w:hAnsi="仿宋" w:eastAsia="仿宋" w:cs="仿宋"/>
          <w:color w:val="000000" w:themeColor="text1"/>
          <w:sz w:val="32"/>
          <w:szCs w:val="32"/>
          <w14:textFill>
            <w14:solidFill>
              <w14:schemeClr w14:val="tx1"/>
            </w14:solidFill>
          </w14:textFill>
        </w:rPr>
        <w:t>万元</w:t>
      </w:r>
      <w:r>
        <w:rPr>
          <w:rFonts w:hint="eastAsia" w:eastAsia="方正仿宋简体" w:cs="Times New Roman"/>
          <w:color w:val="000000" w:themeColor="text1"/>
          <w:sz w:val="32"/>
          <w:szCs w:val="32"/>
          <w:lang w:val="en-US" w:eastAsia="zh-CN"/>
          <w14:textFill>
            <w14:solidFill>
              <w14:schemeClr w14:val="tx1"/>
            </w14:solidFill>
          </w14:textFill>
        </w:rPr>
        <w:t>。</w:t>
      </w:r>
    </w:p>
    <w:p w14:paraId="0F00ADE9">
      <w:pPr>
        <w:ind w:firstLine="640" w:firstLineChars="200"/>
        <w:rPr>
          <w:rFonts w:hint="eastAsia" w:ascii="方正黑体简体" w:hAnsi="方正黑体简体" w:eastAsia="方正黑体简体" w:cs="方正黑体简体"/>
          <w:color w:val="000000" w:themeColor="text1"/>
          <w:sz w:val="32"/>
          <w:szCs w:val="32"/>
          <w14:textFill>
            <w14:solidFill>
              <w14:schemeClr w14:val="tx1"/>
            </w14:solidFill>
          </w14:textFill>
        </w:rPr>
      </w:pPr>
      <w:r>
        <w:rPr>
          <w:rFonts w:hint="eastAsia" w:ascii="方正黑体简体" w:hAnsi="方正黑体简体" w:eastAsia="方正黑体简体" w:cs="方正黑体简体"/>
          <w:color w:val="000000" w:themeColor="text1"/>
          <w:sz w:val="32"/>
          <w:szCs w:val="32"/>
          <w14:textFill>
            <w14:solidFill>
              <w14:schemeClr w14:val="tx1"/>
            </w14:solidFill>
          </w14:textFill>
        </w:rPr>
        <w:t>五、</w:t>
      </w:r>
      <w:r>
        <w:rPr>
          <w:rFonts w:hint="eastAsia" w:ascii="方正黑体简体" w:hAnsi="方正黑体简体" w:eastAsia="方正黑体简体" w:cs="方正黑体简体"/>
          <w:color w:val="000000" w:themeColor="text1"/>
          <w:sz w:val="32"/>
          <w:szCs w:val="32"/>
          <w:lang w:eastAsia="zh-CN"/>
          <w14:textFill>
            <w14:solidFill>
              <w14:schemeClr w14:val="tx1"/>
            </w14:solidFill>
          </w14:textFill>
        </w:rPr>
        <w:t>202</w:t>
      </w:r>
      <w:r>
        <w:rPr>
          <w:rFonts w:hint="eastAsia" w:ascii="方正黑体简体" w:hAnsi="方正黑体简体" w:eastAsia="方正黑体简体" w:cs="方正黑体简体"/>
          <w:color w:val="000000" w:themeColor="text1"/>
          <w:sz w:val="32"/>
          <w:szCs w:val="32"/>
          <w:lang w:val="en-US" w:eastAsia="zh-CN"/>
          <w14:textFill>
            <w14:solidFill>
              <w14:schemeClr w14:val="tx1"/>
            </w14:solidFill>
          </w14:textFill>
        </w:rPr>
        <w:t>6</w:t>
      </w:r>
      <w:r>
        <w:rPr>
          <w:rFonts w:hint="eastAsia" w:ascii="方正黑体简体" w:hAnsi="方正黑体简体" w:eastAsia="方正黑体简体" w:cs="方正黑体简体"/>
          <w:color w:val="000000" w:themeColor="text1"/>
          <w:sz w:val="32"/>
          <w:szCs w:val="32"/>
          <w14:textFill>
            <w14:solidFill>
              <w14:schemeClr w14:val="tx1"/>
            </w14:solidFill>
          </w14:textFill>
        </w:rPr>
        <w:t>年一般公共预算支出表的说明</w:t>
      </w:r>
    </w:p>
    <w:p w14:paraId="26ABF97A">
      <w:pPr>
        <w:ind w:firstLine="640" w:firstLineChars="200"/>
        <w:rPr>
          <w:rFonts w:hint="eastAsia" w:ascii="方正楷体简体" w:hAnsi="方正楷体简体" w:eastAsia="方正楷体简体" w:cs="方正楷体简体"/>
          <w:b w:val="0"/>
          <w:bCs w:val="0"/>
          <w:color w:val="000000" w:themeColor="text1"/>
          <w:sz w:val="32"/>
          <w:szCs w:val="32"/>
          <w:highlight w:val="none"/>
          <w14:textFill>
            <w14:solidFill>
              <w14:schemeClr w14:val="tx1"/>
            </w14:solidFill>
          </w14:textFill>
        </w:rPr>
      </w:pPr>
      <w:r>
        <w:rPr>
          <w:rFonts w:hint="eastAsia" w:ascii="方正楷体简体" w:hAnsi="方正楷体简体" w:eastAsia="方正楷体简体" w:cs="方正楷体简体"/>
          <w:b w:val="0"/>
          <w:bCs w:val="0"/>
          <w:color w:val="000000" w:themeColor="text1"/>
          <w:sz w:val="32"/>
          <w:szCs w:val="32"/>
          <w:highlight w:val="none"/>
          <w14:textFill>
            <w14:solidFill>
              <w14:schemeClr w14:val="tx1"/>
            </w14:solidFill>
          </w14:textFill>
        </w:rPr>
        <w:t>（一）一般公共预算当年拨款规模变化情况。</w:t>
      </w:r>
    </w:p>
    <w:p w14:paraId="114C627A">
      <w:pPr>
        <w:ind w:firstLine="640" w:firstLineChars="200"/>
        <w:jc w:val="left"/>
        <w:rPr>
          <w:rFonts w:hint="default"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202</w:t>
      </w:r>
      <w:r>
        <w:rPr>
          <w:rFonts w:hint="eastAsia" w:ascii="仿宋" w:hAnsi="仿宋" w:eastAsia="仿宋" w:cs="仿宋"/>
          <w:color w:val="000000" w:themeColor="text1"/>
          <w:sz w:val="32"/>
          <w:szCs w:val="32"/>
          <w:highlight w:val="none"/>
          <w:lang w:val="en-US" w:eastAsia="zh-CN"/>
          <w14:textFill>
            <w14:solidFill>
              <w14:schemeClr w14:val="tx1"/>
            </w14:solidFill>
          </w14:textFill>
        </w:rPr>
        <w:t>6</w:t>
      </w:r>
      <w:r>
        <w:rPr>
          <w:rFonts w:hint="eastAsia" w:ascii="仿宋" w:hAnsi="仿宋" w:eastAsia="仿宋"/>
          <w:color w:val="000000" w:themeColor="text1"/>
          <w:sz w:val="32"/>
          <w:szCs w:val="32"/>
          <w:highlight w:val="none"/>
          <w14:textFill>
            <w14:solidFill>
              <w14:schemeClr w14:val="tx1"/>
            </w14:solidFill>
          </w14:textFill>
        </w:rPr>
        <w:t>年一般公共预算当年拨款</w:t>
      </w:r>
      <w:r>
        <w:rPr>
          <w:rFonts w:hint="eastAsia" w:eastAsia="方正仿宋简体" w:cs="Times New Roman"/>
          <w:color w:val="000000" w:themeColor="text1"/>
          <w:sz w:val="32"/>
          <w:szCs w:val="32"/>
          <w:lang w:val="en-US" w:eastAsia="zh-CN"/>
          <w14:textFill>
            <w14:solidFill>
              <w14:schemeClr w14:val="tx1"/>
            </w14:solidFill>
          </w14:textFill>
        </w:rPr>
        <w:t>519.20</w:t>
      </w:r>
      <w:r>
        <w:rPr>
          <w:rFonts w:hint="eastAsia" w:ascii="仿宋" w:hAnsi="仿宋" w:eastAsia="仿宋"/>
          <w:color w:val="000000" w:themeColor="text1"/>
          <w:sz w:val="32"/>
          <w:szCs w:val="32"/>
          <w:highlight w:val="none"/>
          <w14:textFill>
            <w14:solidFill>
              <w14:schemeClr w14:val="tx1"/>
            </w14:solidFill>
          </w14:textFill>
        </w:rPr>
        <w:t>万元,比</w:t>
      </w:r>
      <w:r>
        <w:rPr>
          <w:rFonts w:hint="default" w:ascii="Times New Roman" w:hAnsi="Times New Roman" w:eastAsia="仿宋" w:cs="Times New Roman"/>
          <w:color w:val="000000" w:themeColor="text1"/>
          <w:sz w:val="32"/>
          <w:szCs w:val="32"/>
          <w:highlight w:val="none"/>
          <w14:textFill>
            <w14:solidFill>
              <w14:schemeClr w14:val="tx1"/>
            </w14:solidFill>
          </w14:textFill>
        </w:rPr>
        <w:t>202</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5</w:t>
      </w:r>
      <w:r>
        <w:rPr>
          <w:rFonts w:hint="eastAsia" w:ascii="仿宋" w:hAnsi="仿宋" w:eastAsia="仿宋"/>
          <w:color w:val="000000" w:themeColor="text1"/>
          <w:sz w:val="32"/>
          <w:szCs w:val="32"/>
          <w:highlight w:val="none"/>
          <w14:textFill>
            <w14:solidFill>
              <w14:schemeClr w14:val="tx1"/>
            </w14:solidFill>
          </w14:textFill>
        </w:rPr>
        <w:t>年执行数</w:t>
      </w:r>
      <w:r>
        <w:rPr>
          <w:rFonts w:hint="eastAsia" w:ascii="仿宋" w:hAnsi="仿宋" w:eastAsia="仿宋"/>
          <w:color w:val="000000" w:themeColor="text1"/>
          <w:sz w:val="32"/>
          <w:szCs w:val="32"/>
          <w:highlight w:val="none"/>
          <w:lang w:eastAsia="zh-CN"/>
          <w14:textFill>
            <w14:solidFill>
              <w14:schemeClr w14:val="tx1"/>
            </w14:solidFill>
          </w14:textFill>
        </w:rPr>
        <w:t>减少</w:t>
      </w:r>
      <w:r>
        <w:rPr>
          <w:rFonts w:hint="eastAsia" w:ascii="仿宋" w:hAnsi="仿宋" w:eastAsia="仿宋"/>
          <w:color w:val="000000" w:themeColor="text1"/>
          <w:sz w:val="32"/>
          <w:szCs w:val="32"/>
          <w:highlight w:val="none"/>
          <w:lang w:val="en-US" w:eastAsia="zh-CN"/>
          <w14:textFill>
            <w14:solidFill>
              <w14:schemeClr w14:val="tx1"/>
            </w14:solidFill>
          </w14:textFill>
        </w:rPr>
        <w:t>41.94</w:t>
      </w:r>
      <w:r>
        <w:rPr>
          <w:rFonts w:hint="eastAsia" w:ascii="仿宋" w:hAnsi="仿宋" w:eastAsia="仿宋"/>
          <w:color w:val="000000" w:themeColor="text1"/>
          <w:sz w:val="32"/>
          <w:szCs w:val="32"/>
          <w:highlight w:val="none"/>
          <w14:textFill>
            <w14:solidFill>
              <w14:schemeClr w14:val="tx1"/>
            </w14:solidFill>
          </w14:textFill>
        </w:rPr>
        <w:t>万元，主要原因：</w:t>
      </w:r>
      <w:r>
        <w:rPr>
          <w:rFonts w:hint="eastAsia" w:ascii="仿宋" w:hAnsi="仿宋" w:eastAsia="仿宋" w:cs="仿宋"/>
          <w:color w:val="000000" w:themeColor="text1"/>
          <w:sz w:val="32"/>
          <w:szCs w:val="32"/>
          <w:highlight w:val="none"/>
          <w14:textFill>
            <w14:solidFill>
              <w14:schemeClr w14:val="tx1"/>
            </w14:solidFill>
          </w14:textFill>
        </w:rPr>
        <w:t>人员变动</w:t>
      </w:r>
      <w:r>
        <w:rPr>
          <w:rFonts w:hint="eastAsia" w:ascii="仿宋" w:hAnsi="仿宋" w:eastAsia="仿宋" w:cs="仿宋"/>
          <w:color w:val="000000" w:themeColor="text1"/>
          <w:sz w:val="32"/>
          <w:szCs w:val="32"/>
          <w:highlight w:val="none"/>
          <w:lang w:eastAsia="zh-CN"/>
          <w14:textFill>
            <w14:solidFill>
              <w14:schemeClr w14:val="tx1"/>
            </w14:solidFill>
          </w14:textFill>
        </w:rPr>
        <w:t>及</w:t>
      </w:r>
      <w:r>
        <w:rPr>
          <w:rFonts w:hint="eastAsia" w:ascii="仿宋" w:hAnsi="仿宋" w:eastAsia="仿宋"/>
          <w:color w:val="000000" w:themeColor="text1"/>
          <w:sz w:val="32"/>
          <w:szCs w:val="32"/>
          <w:highlight w:val="none"/>
          <w14:textFill>
            <w14:solidFill>
              <w14:schemeClr w14:val="tx1"/>
            </w14:solidFill>
          </w14:textFill>
        </w:rPr>
        <w:t>项目支出变化</w:t>
      </w:r>
      <w:r>
        <w:rPr>
          <w:rFonts w:hint="eastAsia" w:ascii="仿宋" w:hAnsi="仿宋" w:eastAsia="仿宋"/>
          <w:color w:val="000000" w:themeColor="text1"/>
          <w:sz w:val="32"/>
          <w:szCs w:val="32"/>
          <w:highlight w:val="none"/>
          <w:lang w:val="en-US" w:eastAsia="zh-CN"/>
          <w14:textFill>
            <w14:solidFill>
              <w14:schemeClr w14:val="tx1"/>
            </w14:solidFill>
          </w14:textFill>
        </w:rPr>
        <w:t>等。</w:t>
      </w:r>
    </w:p>
    <w:p w14:paraId="2F9D252E">
      <w:pPr>
        <w:ind w:firstLine="320" w:firstLineChars="100"/>
        <w:jc w:val="left"/>
        <w:rPr>
          <w:rFonts w:hint="eastAsia" w:ascii="仿宋" w:hAnsi="仿宋" w:eastAsia="仿宋"/>
          <w:color w:val="000000" w:themeColor="text1"/>
          <w:sz w:val="32"/>
          <w:szCs w:val="32"/>
          <w:highlight w:val="none"/>
          <w14:textFill>
            <w14:solidFill>
              <w14:schemeClr w14:val="tx1"/>
            </w14:solidFill>
          </w14:textFill>
        </w:rPr>
      </w:pPr>
      <w:r>
        <w:rPr>
          <w:rFonts w:hint="eastAsia" w:ascii="方正楷体简体" w:hAnsi="方正楷体简体" w:eastAsia="方正楷体简体" w:cs="方正楷体简体"/>
          <w:b w:val="0"/>
          <w:bCs w:val="0"/>
          <w:color w:val="000000" w:themeColor="text1"/>
          <w:sz w:val="32"/>
          <w:szCs w:val="32"/>
          <w:highlight w:val="none"/>
          <w14:textFill>
            <w14:solidFill>
              <w14:schemeClr w14:val="tx1"/>
            </w14:solidFill>
          </w14:textFill>
        </w:rPr>
        <w:t>（二）一般公共预算当年拨款结构情况。</w:t>
      </w:r>
    </w:p>
    <w:p w14:paraId="244DEB46">
      <w:pPr>
        <w:ind w:firstLine="640" w:firstLineChars="200"/>
        <w:rPr>
          <w:rFonts w:ascii="仿宋" w:hAnsi="仿宋" w:eastAsia="仿宋"/>
          <w:color w:val="000000" w:themeColor="text1"/>
          <w:sz w:val="32"/>
          <w:szCs w:val="32"/>
          <w14:textFill>
            <w14:solidFill>
              <w14:schemeClr w14:val="tx1"/>
            </w14:solidFill>
          </w14:textFill>
        </w:rPr>
      </w:pPr>
      <w:r>
        <w:rPr>
          <w:rFonts w:hint="eastAsia" w:ascii="Times New Roman" w:hAnsi="Times New Roman" w:eastAsia="方正仿宋简体" w:cs="Times New Roman"/>
          <w:color w:val="000000" w:themeColor="text1"/>
          <w:sz w:val="32"/>
          <w:szCs w:val="32"/>
          <w14:textFill>
            <w14:solidFill>
              <w14:schemeClr w14:val="tx1"/>
            </w14:solidFill>
          </w14:textFill>
        </w:rPr>
        <w:t>一般公共预算</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当年</w:t>
      </w:r>
      <w:r>
        <w:rPr>
          <w:rFonts w:hint="eastAsia" w:ascii="Times New Roman" w:hAnsi="Times New Roman" w:eastAsia="方正仿宋简体" w:cs="Times New Roman"/>
          <w:color w:val="000000" w:themeColor="text1"/>
          <w:sz w:val="32"/>
          <w:szCs w:val="32"/>
          <w14:textFill>
            <w14:solidFill>
              <w14:schemeClr w14:val="tx1"/>
            </w14:solidFill>
          </w14:textFill>
        </w:rPr>
        <w:t>拨款收入</w:t>
      </w:r>
      <w:r>
        <w:rPr>
          <w:rFonts w:hint="eastAsia" w:eastAsia="方正仿宋简体" w:cs="Times New Roman"/>
          <w:color w:val="000000" w:themeColor="text1"/>
          <w:sz w:val="32"/>
          <w:szCs w:val="32"/>
          <w:lang w:val="en-US" w:eastAsia="zh-CN"/>
          <w14:textFill>
            <w14:solidFill>
              <w14:schemeClr w14:val="tx1"/>
            </w14:solidFill>
          </w14:textFill>
        </w:rPr>
        <w:t>519.20</w:t>
      </w:r>
      <w:r>
        <w:rPr>
          <w:rFonts w:hint="eastAsia" w:ascii="Times New Roman" w:hAnsi="Times New Roman" w:eastAsia="方正仿宋简体" w:cs="Times New Roman"/>
          <w:color w:val="000000" w:themeColor="text1"/>
          <w:sz w:val="32"/>
          <w:szCs w:val="32"/>
          <w14:textFill>
            <w14:solidFill>
              <w14:schemeClr w14:val="tx1"/>
            </w14:solidFill>
          </w14:textFill>
        </w:rPr>
        <w:t>万元，占</w:t>
      </w:r>
      <w:r>
        <w:rPr>
          <w:rFonts w:hint="eastAsia" w:eastAsia="方正仿宋简体" w:cs="Times New Roman"/>
          <w:color w:val="000000" w:themeColor="text1"/>
          <w:sz w:val="32"/>
          <w:szCs w:val="32"/>
          <w:lang w:val="en-US" w:eastAsia="zh-CN"/>
          <w14:textFill>
            <w14:solidFill>
              <w14:schemeClr w14:val="tx1"/>
            </w14:solidFill>
          </w14:textFill>
        </w:rPr>
        <w:t>79.59</w:t>
      </w:r>
      <w:r>
        <w:rPr>
          <w:rFonts w:hint="eastAsia" w:ascii="Times New Roman" w:hAnsi="Times New Roman" w:eastAsia="方正仿宋简体" w:cs="Times New Roman"/>
          <w:color w:val="000000" w:themeColor="text1"/>
          <w:sz w:val="32"/>
          <w:szCs w:val="32"/>
          <w14:textFill>
            <w14:solidFill>
              <w14:schemeClr w14:val="tx1"/>
            </w14:solidFill>
          </w14:textFill>
        </w:rPr>
        <w:t>%</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简体" w:cs="Times New Roman"/>
          <w:color w:val="000000" w:themeColor="text1"/>
          <w:sz w:val="32"/>
          <w:szCs w:val="32"/>
          <w14:textFill>
            <w14:solidFill>
              <w14:schemeClr w14:val="tx1"/>
            </w14:solidFill>
          </w14:textFill>
        </w:rPr>
        <w:t>上年结转</w:t>
      </w:r>
      <w:r>
        <w:rPr>
          <w:rFonts w:hint="eastAsia" w:eastAsia="方正仿宋简体" w:cs="Times New Roman"/>
          <w:color w:val="000000" w:themeColor="text1"/>
          <w:sz w:val="32"/>
          <w:szCs w:val="32"/>
          <w:lang w:eastAsia="zh-CN"/>
          <w14:textFill>
            <w14:solidFill>
              <w14:schemeClr w14:val="tx1"/>
            </w14:solidFill>
          </w14:textFill>
        </w:rPr>
        <w:t>结余资金</w:t>
      </w:r>
      <w:r>
        <w:rPr>
          <w:rFonts w:hint="eastAsia" w:eastAsia="方正仿宋简体" w:cs="Times New Roman"/>
          <w:color w:val="000000" w:themeColor="text1"/>
          <w:sz w:val="32"/>
          <w:szCs w:val="32"/>
          <w:lang w:val="en-US" w:eastAsia="zh-CN"/>
          <w14:textFill>
            <w14:solidFill>
              <w14:schemeClr w14:val="tx1"/>
            </w14:solidFill>
          </w14:textFill>
        </w:rPr>
        <w:t>133.15</w:t>
      </w:r>
      <w:r>
        <w:rPr>
          <w:rFonts w:hint="eastAsia" w:ascii="Times New Roman" w:hAnsi="Times New Roman" w:eastAsia="方正仿宋简体" w:cs="Times New Roman"/>
          <w:color w:val="000000" w:themeColor="text1"/>
          <w:sz w:val="32"/>
          <w:szCs w:val="32"/>
          <w14:textFill>
            <w14:solidFill>
              <w14:schemeClr w14:val="tx1"/>
            </w14:solidFill>
          </w14:textFill>
        </w:rPr>
        <w:t>万元</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简体" w:cs="Times New Roman"/>
          <w:color w:val="000000" w:themeColor="text1"/>
          <w:sz w:val="32"/>
          <w:szCs w:val="32"/>
          <w14:textFill>
            <w14:solidFill>
              <w14:schemeClr w14:val="tx1"/>
            </w14:solidFill>
          </w14:textFill>
        </w:rPr>
        <w:t>占</w:t>
      </w:r>
      <w:r>
        <w:rPr>
          <w:rFonts w:hint="eastAsia" w:eastAsia="方正仿宋简体" w:cs="Times New Roman"/>
          <w:color w:val="000000" w:themeColor="text1"/>
          <w:sz w:val="32"/>
          <w:szCs w:val="32"/>
          <w:lang w:val="en-US" w:eastAsia="zh-CN"/>
          <w14:textFill>
            <w14:solidFill>
              <w14:schemeClr w14:val="tx1"/>
            </w14:solidFill>
          </w14:textFill>
        </w:rPr>
        <w:t>20.41</w:t>
      </w:r>
      <w:r>
        <w:rPr>
          <w:rFonts w:hint="eastAsia" w:ascii="Times New Roman" w:hAnsi="Times New Roman" w:eastAsia="方正仿宋简体" w:cs="Times New Roman"/>
          <w:color w:val="000000" w:themeColor="text1"/>
          <w:sz w:val="32"/>
          <w:szCs w:val="32"/>
          <w14:textFill>
            <w14:solidFill>
              <w14:schemeClr w14:val="tx1"/>
            </w14:solidFill>
          </w14:textFill>
        </w:rPr>
        <w:t>%</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 xml:space="preserve">  </w:t>
      </w:r>
    </w:p>
    <w:p w14:paraId="700F89C5">
      <w:pPr>
        <w:ind w:firstLine="320" w:firstLineChars="100"/>
        <w:rPr>
          <w:rFonts w:hint="eastAsia" w:ascii="楷体" w:hAnsi="楷体" w:eastAsia="楷体" w:cs="楷体"/>
          <w:b/>
          <w:bCs/>
          <w:color w:val="000000" w:themeColor="text1"/>
          <w:sz w:val="32"/>
          <w:szCs w:val="32"/>
          <w:highlight w:val="yellow"/>
          <w14:textFill>
            <w14:solidFill>
              <w14:schemeClr w14:val="tx1"/>
            </w14:solidFill>
          </w14:textFill>
        </w:rPr>
      </w:pPr>
      <w:r>
        <w:rPr>
          <w:rFonts w:hint="eastAsia" w:ascii="楷体" w:hAnsi="楷体" w:eastAsia="楷体" w:cs="楷体"/>
          <w:b w:val="0"/>
          <w:bCs w:val="0"/>
          <w:color w:val="000000" w:themeColor="text1"/>
          <w:sz w:val="32"/>
          <w:szCs w:val="32"/>
          <w14:textFill>
            <w14:solidFill>
              <w14:schemeClr w14:val="tx1"/>
            </w14:solidFill>
          </w14:textFill>
        </w:rPr>
        <w:t>（</w:t>
      </w:r>
      <w:r>
        <w:rPr>
          <w:rFonts w:hint="eastAsia" w:ascii="方正楷体简体" w:hAnsi="方正楷体简体" w:eastAsia="方正楷体简体" w:cs="方正楷体简体"/>
          <w:b w:val="0"/>
          <w:bCs w:val="0"/>
          <w:color w:val="000000" w:themeColor="text1"/>
          <w:sz w:val="32"/>
          <w:szCs w:val="32"/>
          <w:highlight w:val="none"/>
          <w14:textFill>
            <w14:solidFill>
              <w14:schemeClr w14:val="tx1"/>
            </w14:solidFill>
          </w14:textFill>
        </w:rPr>
        <w:t>三）一般公共预算当年拨款具体使用情况。</w:t>
      </w:r>
    </w:p>
    <w:p w14:paraId="70EE2F60">
      <w:pPr>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对本部门一般公共预算支出功能分类项级科目增减变化进行说明。</w:t>
      </w:r>
    </w:p>
    <w:p w14:paraId="26CAAD47">
      <w:pPr>
        <w:ind w:firstLine="640" w:firstLineChars="200"/>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1.一般公共服务支出（类）行政运行（项）</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基本支出202</w:t>
      </w:r>
      <w:r>
        <w:rPr>
          <w:rFonts w:hint="eastAsia" w:eastAsia="仿宋"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 w:cs="Times New Roman"/>
          <w:color w:val="000000" w:themeColor="text1"/>
          <w:sz w:val="32"/>
          <w:szCs w:val="32"/>
          <w:highlight w:val="none"/>
          <w14:textFill>
            <w14:solidFill>
              <w14:schemeClr w14:val="tx1"/>
            </w14:solidFill>
          </w14:textFill>
        </w:rPr>
        <w:t>年预算数为</w:t>
      </w:r>
      <w:r>
        <w:rPr>
          <w:rFonts w:hint="eastAsia" w:eastAsia="方正仿宋简体" w:cs="Times New Roman"/>
          <w:color w:val="000000" w:themeColor="text1"/>
          <w:sz w:val="32"/>
          <w:szCs w:val="32"/>
          <w:highlight w:val="none"/>
          <w:lang w:val="en-US" w:eastAsia="zh-CN"/>
          <w14:textFill>
            <w14:solidFill>
              <w14:schemeClr w14:val="tx1"/>
            </w14:solidFill>
          </w14:textFill>
        </w:rPr>
        <w:t>364.72</w:t>
      </w:r>
      <w:r>
        <w:rPr>
          <w:rFonts w:hint="default" w:ascii="Times New Roman" w:hAnsi="Times New Roman" w:eastAsia="仿宋" w:cs="Times New Roman"/>
          <w:color w:val="000000" w:themeColor="text1"/>
          <w:sz w:val="32"/>
          <w:szCs w:val="32"/>
          <w:highlight w:val="none"/>
          <w14:textFill>
            <w14:solidFill>
              <w14:schemeClr w14:val="tx1"/>
            </w14:solidFill>
          </w14:textFill>
        </w:rPr>
        <w:t>万元，比202</w:t>
      </w:r>
      <w:r>
        <w:rPr>
          <w:rFonts w:hint="eastAsia" w:eastAsia="仿宋"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 w:cs="Times New Roman"/>
          <w:color w:val="000000" w:themeColor="text1"/>
          <w:sz w:val="32"/>
          <w:szCs w:val="32"/>
          <w:highlight w:val="none"/>
          <w14:textFill>
            <w14:solidFill>
              <w14:schemeClr w14:val="tx1"/>
            </w14:solidFill>
          </w14:textFill>
        </w:rPr>
        <w:t>年执行数增加</w:t>
      </w:r>
      <w:r>
        <w:rPr>
          <w:rFonts w:hint="eastAsia" w:eastAsia="仿宋" w:cs="Times New Roman"/>
          <w:color w:val="000000" w:themeColor="text1"/>
          <w:sz w:val="32"/>
          <w:szCs w:val="32"/>
          <w:highlight w:val="none"/>
          <w:lang w:val="en-US" w:eastAsia="zh-CN"/>
          <w14:textFill>
            <w14:solidFill>
              <w14:schemeClr w14:val="tx1"/>
            </w14:solidFill>
          </w14:textFill>
        </w:rPr>
        <w:t>9.36</w:t>
      </w:r>
      <w:r>
        <w:rPr>
          <w:rFonts w:hint="default" w:ascii="Times New Roman" w:hAnsi="Times New Roman" w:eastAsia="仿宋" w:cs="Times New Roman"/>
          <w:color w:val="000000" w:themeColor="text1"/>
          <w:sz w:val="32"/>
          <w:szCs w:val="32"/>
          <w:highlight w:val="none"/>
          <w14:textFill>
            <w14:solidFill>
              <w14:schemeClr w14:val="tx1"/>
            </w14:solidFill>
          </w14:textFill>
        </w:rPr>
        <w:t>万元。主要是</w:t>
      </w:r>
      <w:r>
        <w:rPr>
          <w:rFonts w:hint="eastAsia" w:eastAsia="仿宋" w:cs="Times New Roman"/>
          <w:color w:val="000000" w:themeColor="text1"/>
          <w:sz w:val="32"/>
          <w:szCs w:val="32"/>
          <w:highlight w:val="none"/>
          <w:lang w:eastAsia="zh-CN"/>
          <w14:textFill>
            <w14:solidFill>
              <w14:schemeClr w14:val="tx1"/>
            </w14:solidFill>
          </w14:textFill>
        </w:rPr>
        <w:t>人员职级晋升导致干部职工五险一金上涨</w:t>
      </w:r>
      <w:r>
        <w:rPr>
          <w:rFonts w:hint="default" w:ascii="Times New Roman" w:hAnsi="Times New Roman" w:eastAsia="仿宋" w:cs="Times New Roman"/>
          <w:color w:val="000000" w:themeColor="text1"/>
          <w:sz w:val="32"/>
          <w:szCs w:val="32"/>
          <w:highlight w:val="none"/>
          <w14:textFill>
            <w14:solidFill>
              <w14:schemeClr w14:val="tx1"/>
            </w14:solidFill>
          </w14:textFill>
        </w:rPr>
        <w:t>。</w:t>
      </w:r>
    </w:p>
    <w:p w14:paraId="63D36373">
      <w:pPr>
        <w:ind w:firstLine="640" w:firstLineChars="200"/>
        <w:rPr>
          <w:rFonts w:hint="default" w:ascii="Times New Roman" w:hAnsi="Times New Roman" w:eastAsia="楷体"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2.一般公共服务支出（类）</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其他检察业务</w:t>
      </w:r>
      <w:r>
        <w:rPr>
          <w:rFonts w:hint="default" w:ascii="Times New Roman" w:hAnsi="Times New Roman" w:eastAsia="仿宋" w:cs="Times New Roman"/>
          <w:color w:val="000000" w:themeColor="text1"/>
          <w:sz w:val="32"/>
          <w:szCs w:val="32"/>
          <w:highlight w:val="none"/>
          <w14:textFill>
            <w14:solidFill>
              <w14:schemeClr w14:val="tx1"/>
            </w14:solidFill>
          </w14:textFill>
        </w:rPr>
        <w:t>（项）</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202</w:t>
      </w:r>
      <w:r>
        <w:rPr>
          <w:rFonts w:hint="eastAsia" w:eastAsia="仿宋"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 w:cs="Times New Roman"/>
          <w:color w:val="000000" w:themeColor="text1"/>
          <w:sz w:val="32"/>
          <w:szCs w:val="32"/>
          <w:highlight w:val="none"/>
          <w14:textFill>
            <w14:solidFill>
              <w14:schemeClr w14:val="tx1"/>
            </w14:solidFill>
          </w14:textFill>
        </w:rPr>
        <w:t>年预算数为</w:t>
      </w:r>
      <w:r>
        <w:rPr>
          <w:rFonts w:hint="eastAsia" w:eastAsia="仿宋" w:cs="Times New Roman"/>
          <w:color w:val="000000" w:themeColor="text1"/>
          <w:sz w:val="32"/>
          <w:szCs w:val="32"/>
          <w:highlight w:val="none"/>
          <w:lang w:val="en-US" w:eastAsia="zh-CN"/>
          <w14:textFill>
            <w14:solidFill>
              <w14:schemeClr w14:val="tx1"/>
            </w14:solidFill>
          </w14:textFill>
        </w:rPr>
        <w:t>287.63</w:t>
      </w:r>
      <w:r>
        <w:rPr>
          <w:rFonts w:hint="default" w:ascii="Times New Roman" w:hAnsi="Times New Roman" w:eastAsia="仿宋" w:cs="Times New Roman"/>
          <w:color w:val="000000" w:themeColor="text1"/>
          <w:sz w:val="32"/>
          <w:szCs w:val="32"/>
          <w:highlight w:val="none"/>
          <w14:textFill>
            <w14:solidFill>
              <w14:schemeClr w14:val="tx1"/>
            </w14:solidFill>
          </w14:textFill>
        </w:rPr>
        <w:t>万元，比202</w:t>
      </w:r>
      <w:r>
        <w:rPr>
          <w:rFonts w:hint="eastAsia" w:eastAsia="仿宋"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 w:cs="Times New Roman"/>
          <w:color w:val="000000" w:themeColor="text1"/>
          <w:sz w:val="32"/>
          <w:szCs w:val="32"/>
          <w:highlight w:val="none"/>
          <w14:textFill>
            <w14:solidFill>
              <w14:schemeClr w14:val="tx1"/>
            </w14:solidFill>
          </w14:textFill>
        </w:rPr>
        <w:t>年执行数增加</w:t>
      </w:r>
      <w:r>
        <w:rPr>
          <w:rFonts w:hint="eastAsia" w:eastAsia="仿宋" w:cs="Times New Roman"/>
          <w:color w:val="000000" w:themeColor="text1"/>
          <w:sz w:val="32"/>
          <w:szCs w:val="32"/>
          <w:highlight w:val="none"/>
          <w:lang w:val="en-US" w:eastAsia="zh-CN"/>
          <w14:textFill>
            <w14:solidFill>
              <w14:schemeClr w14:val="tx1"/>
            </w14:solidFill>
          </w14:textFill>
        </w:rPr>
        <w:t>81.85</w:t>
      </w:r>
      <w:r>
        <w:rPr>
          <w:rFonts w:hint="default" w:ascii="Times New Roman" w:hAnsi="Times New Roman" w:eastAsia="仿宋" w:cs="Times New Roman"/>
          <w:color w:val="000000" w:themeColor="text1"/>
          <w:sz w:val="32"/>
          <w:szCs w:val="32"/>
          <w:highlight w:val="none"/>
          <w14:textFill>
            <w14:solidFill>
              <w14:schemeClr w14:val="tx1"/>
            </w14:solidFill>
          </w14:textFill>
        </w:rPr>
        <w:t>万元。主要是项目变动</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等。</w:t>
      </w:r>
    </w:p>
    <w:p w14:paraId="35222F88">
      <w:pPr>
        <w:ind w:firstLine="640" w:firstLineChars="200"/>
        <w:rPr>
          <w:rFonts w:hint="eastAsia" w:ascii="黑体" w:hAnsi="黑体" w:eastAsia="黑体" w:cs="黑体"/>
          <w:color w:val="000000" w:themeColor="text1"/>
          <w:sz w:val="32"/>
          <w:szCs w:val="32"/>
          <w:highlight w:val="yellow"/>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六、</w:t>
      </w:r>
      <w:r>
        <w:rPr>
          <w:rFonts w:hint="default" w:ascii="Times New Roman" w:hAnsi="Times New Roman" w:eastAsia="黑体" w:cs="Times New Roman"/>
          <w:color w:val="000000" w:themeColor="text1"/>
          <w:sz w:val="32"/>
          <w:szCs w:val="32"/>
          <w:lang w:eastAsia="zh-CN"/>
          <w14:textFill>
            <w14:solidFill>
              <w14:schemeClr w14:val="tx1"/>
            </w14:solidFill>
          </w14:textFill>
        </w:rPr>
        <w:t>202</w:t>
      </w:r>
      <w:r>
        <w:rPr>
          <w:rFonts w:hint="eastAsia" w:eastAsia="黑体" w:cs="Times New Roman"/>
          <w:color w:val="000000" w:themeColor="text1"/>
          <w:sz w:val="32"/>
          <w:szCs w:val="32"/>
          <w:lang w:val="en-US" w:eastAsia="zh-CN"/>
          <w14:textFill>
            <w14:solidFill>
              <w14:schemeClr w14:val="tx1"/>
            </w14:solidFill>
          </w14:textFill>
        </w:rPr>
        <w:t>6</w:t>
      </w:r>
      <w:r>
        <w:rPr>
          <w:rFonts w:hint="default" w:ascii="Times New Roman" w:hAnsi="Times New Roman" w:eastAsia="黑体" w:cs="Times New Roman"/>
          <w:color w:val="000000" w:themeColor="text1"/>
          <w:sz w:val="32"/>
          <w:szCs w:val="32"/>
          <w14:textFill>
            <w14:solidFill>
              <w14:schemeClr w14:val="tx1"/>
            </w14:solidFill>
          </w14:textFill>
        </w:rPr>
        <w:t>年一般公</w:t>
      </w:r>
      <w:r>
        <w:rPr>
          <w:rFonts w:hint="eastAsia" w:ascii="黑体" w:hAnsi="黑体" w:eastAsia="黑体" w:cs="黑体"/>
          <w:color w:val="000000" w:themeColor="text1"/>
          <w:sz w:val="32"/>
          <w:szCs w:val="32"/>
          <w14:textFill>
            <w14:solidFill>
              <w14:schemeClr w14:val="tx1"/>
            </w14:solidFill>
          </w14:textFill>
        </w:rPr>
        <w:t>共预算基本支出表的说明</w:t>
      </w:r>
    </w:p>
    <w:p w14:paraId="76ADDEA2">
      <w:pPr>
        <w:ind w:firstLine="640" w:firstLineChars="200"/>
        <w:rPr>
          <w:rFonts w:hint="default" w:ascii="Times New Roman" w:hAnsi="Times New Roman" w:eastAsia="方正仿宋简体" w:cs="Times New Roman"/>
          <w:color w:val="000000" w:themeColor="text1"/>
          <w:sz w:val="28"/>
          <w:szCs w:val="28"/>
          <w:highlight w:val="yellow"/>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202</w:t>
      </w:r>
      <w:r>
        <w:rPr>
          <w:rFonts w:hint="eastAsia" w:ascii="仿宋" w:hAnsi="仿宋" w:eastAsia="仿宋" w:cs="仿宋"/>
          <w:color w:val="000000" w:themeColor="text1"/>
          <w:sz w:val="32"/>
          <w:szCs w:val="32"/>
          <w:highlight w:val="none"/>
          <w:lang w:val="en-US" w:eastAsia="zh-CN"/>
          <w14:textFill>
            <w14:solidFill>
              <w14:schemeClr w14:val="tx1"/>
            </w14:solidFill>
          </w14:textFill>
        </w:rPr>
        <w:t>6</w:t>
      </w:r>
      <w:r>
        <w:rPr>
          <w:rFonts w:hint="eastAsia" w:ascii="仿宋" w:hAnsi="仿宋" w:eastAsia="仿宋" w:cs="仿宋"/>
          <w:color w:val="000000" w:themeColor="text1"/>
          <w:sz w:val="32"/>
          <w:szCs w:val="32"/>
          <w:highlight w:val="none"/>
          <w14:textFill>
            <w14:solidFill>
              <w14:schemeClr w14:val="tx1"/>
            </w14:solidFill>
          </w14:textFill>
        </w:rPr>
        <w:t>年一般公共预算基本支出</w:t>
      </w:r>
      <w:r>
        <w:rPr>
          <w:rFonts w:hint="eastAsia" w:eastAsia="方正仿宋简体" w:cs="Times New Roman"/>
          <w:color w:val="000000" w:themeColor="text1"/>
          <w:sz w:val="32"/>
          <w:szCs w:val="32"/>
          <w:lang w:val="en-US" w:eastAsia="zh-CN"/>
          <w14:textFill>
            <w14:solidFill>
              <w14:schemeClr w14:val="tx1"/>
            </w14:solidFill>
          </w14:textFill>
        </w:rPr>
        <w:t>519.20</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eastAsia="方正仿宋简体" w:cs="Times New Roman"/>
          <w:color w:val="000000" w:themeColor="text1"/>
          <w:sz w:val="32"/>
          <w:szCs w:val="32"/>
          <w:highlight w:val="none"/>
          <w:lang w:val="en-US" w:eastAsia="zh-CN"/>
          <w14:textFill>
            <w14:solidFill>
              <w14:schemeClr w14:val="tx1"/>
            </w14:solidFill>
          </w14:textFill>
        </w:rPr>
        <w:t>。</w:t>
      </w:r>
    </w:p>
    <w:p w14:paraId="47EAD2D7">
      <w:pPr>
        <w:numPr>
          <w:ilvl w:val="0"/>
          <w:numId w:val="3"/>
        </w:numPr>
        <w:ind w:firstLine="640" w:firstLineChars="200"/>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一般公共预算基本支出人员</w:t>
      </w:r>
      <w:r>
        <w:rPr>
          <w:rFonts w:hint="eastAsia" w:ascii="仿宋" w:hAnsi="仿宋" w:eastAsia="仿宋" w:cs="仿宋"/>
          <w:color w:val="000000" w:themeColor="text1"/>
          <w:sz w:val="32"/>
          <w:szCs w:val="32"/>
          <w:highlight w:val="none"/>
          <w:lang w:val="en-US" w:eastAsia="zh-CN"/>
          <w14:textFill>
            <w14:solidFill>
              <w14:schemeClr w14:val="tx1"/>
            </w14:solidFill>
          </w14:textFill>
        </w:rPr>
        <w:t>支出364.73</w:t>
      </w:r>
      <w:r>
        <w:rPr>
          <w:rFonts w:hint="default" w:ascii="Times New Roman" w:hAnsi="Times New Roman" w:eastAsia="仿宋" w:cs="Times New Roman"/>
          <w:color w:val="000000" w:themeColor="text1"/>
          <w:sz w:val="32"/>
          <w:szCs w:val="32"/>
          <w:highlight w:val="none"/>
          <w14:textFill>
            <w14:solidFill>
              <w14:schemeClr w14:val="tx1"/>
            </w14:solidFill>
          </w14:textFill>
        </w:rPr>
        <w:t>万元</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w:t>
      </w:r>
    </w:p>
    <w:p w14:paraId="3A6C694B">
      <w:pPr>
        <w:numPr>
          <w:ilvl w:val="0"/>
          <w:numId w:val="0"/>
        </w:numPr>
        <w:ind w:firstLine="640" w:firstLineChars="200"/>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w:t>
      </w:r>
      <w:r>
        <w:rPr>
          <w:rFonts w:hint="eastAsia" w:eastAsia="仿宋"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w:t>
      </w:r>
      <w:r>
        <w:rPr>
          <w:rFonts w:hint="eastAsia" w:eastAsia="仿宋" w:cs="Times New Roman"/>
          <w:color w:val="000000" w:themeColor="text1"/>
          <w:sz w:val="32"/>
          <w:szCs w:val="32"/>
          <w:highlight w:val="none"/>
          <w:lang w:val="en-US" w:eastAsia="zh-CN"/>
          <w14:textFill>
            <w14:solidFill>
              <w14:schemeClr w14:val="tx1"/>
            </w14:solidFill>
          </w14:textFill>
        </w:rPr>
        <w:t>工资福利支出共计331.94万元，其中</w:t>
      </w:r>
      <w:r>
        <w:rPr>
          <w:rFonts w:hint="eastAsia" w:eastAsia="仿宋" w:cs="Times New Roman"/>
          <w:color w:val="000000" w:themeColor="text1"/>
          <w:sz w:val="32"/>
          <w:szCs w:val="32"/>
          <w:highlight w:val="none"/>
          <w:lang w:eastAsia="zh-CN"/>
          <w14:textFill>
            <w14:solidFill>
              <w14:schemeClr w14:val="tx1"/>
            </w14:solidFill>
          </w14:textFill>
        </w:rPr>
        <w:t>财政工资统发</w:t>
      </w:r>
      <w:r>
        <w:rPr>
          <w:rFonts w:hint="eastAsia" w:eastAsia="仿宋" w:cs="Times New Roman"/>
          <w:color w:val="000000" w:themeColor="text1"/>
          <w:sz w:val="32"/>
          <w:szCs w:val="32"/>
          <w:highlight w:val="none"/>
          <w:lang w:val="en-US" w:eastAsia="zh-CN"/>
          <w14:textFill>
            <w14:solidFill>
              <w14:schemeClr w14:val="tx1"/>
            </w14:solidFill>
          </w14:textFill>
        </w:rPr>
        <w:t>178.07万，奖金31.41万元（含检法绩效），伙食补助3.60万元、</w:t>
      </w:r>
      <w:r>
        <w:rPr>
          <w:rFonts w:hint="default" w:ascii="Times New Roman" w:hAnsi="Times New Roman" w:eastAsia="仿宋" w:cs="Times New Roman"/>
          <w:color w:val="000000" w:themeColor="text1"/>
          <w:sz w:val="32"/>
          <w:szCs w:val="32"/>
          <w:highlight w:val="none"/>
          <w14:textFill>
            <w14:solidFill>
              <w14:schemeClr w14:val="tx1"/>
            </w14:solidFill>
          </w14:textFill>
        </w:rPr>
        <w:t>其他社会保险缴费</w:t>
      </w:r>
      <w:r>
        <w:rPr>
          <w:rFonts w:hint="eastAsia" w:eastAsia="仿宋" w:cs="Times New Roman"/>
          <w:color w:val="000000" w:themeColor="text1"/>
          <w:sz w:val="32"/>
          <w:szCs w:val="32"/>
          <w:highlight w:val="none"/>
          <w:lang w:val="en-US" w:eastAsia="zh-CN"/>
          <w14:textFill>
            <w14:solidFill>
              <w14:schemeClr w14:val="tx1"/>
            </w14:solidFill>
          </w14:textFill>
        </w:rPr>
        <w:t>0.17</w:t>
      </w:r>
      <w:r>
        <w:rPr>
          <w:rFonts w:hint="default" w:ascii="Times New Roman" w:hAnsi="Times New Roman" w:eastAsia="仿宋" w:cs="Times New Roman"/>
          <w:color w:val="000000" w:themeColor="text1"/>
          <w:sz w:val="32"/>
          <w:szCs w:val="32"/>
          <w:highlight w:val="none"/>
          <w14:textFill>
            <w14:solidFill>
              <w14:schemeClr w14:val="tx1"/>
            </w14:solidFill>
          </w14:textFill>
        </w:rPr>
        <w:t>万元</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其他工资福利支出</w:t>
      </w:r>
      <w:r>
        <w:rPr>
          <w:rFonts w:hint="eastAsia" w:eastAsia="仿宋" w:cs="Times New Roman"/>
          <w:color w:val="000000" w:themeColor="text1"/>
          <w:sz w:val="32"/>
          <w:szCs w:val="32"/>
          <w:highlight w:val="none"/>
          <w:lang w:val="en-US" w:eastAsia="zh-CN"/>
          <w14:textFill>
            <w14:solidFill>
              <w14:schemeClr w14:val="tx1"/>
            </w14:solidFill>
          </w14:textFill>
        </w:rPr>
        <w:t>51.85</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万元</w:t>
      </w:r>
      <w:r>
        <w:rPr>
          <w:rFonts w:hint="eastAsia" w:eastAsia="仿宋"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 w:cs="Times New Roman"/>
          <w:color w:val="auto"/>
          <w:sz w:val="32"/>
          <w:szCs w:val="32"/>
          <w:highlight w:val="none"/>
        </w:rPr>
        <w:t>机关事业单位养老保险缴费</w:t>
      </w:r>
      <w:r>
        <w:rPr>
          <w:rFonts w:hint="eastAsia" w:eastAsia="仿宋" w:cs="Times New Roman"/>
          <w:color w:val="auto"/>
          <w:sz w:val="32"/>
          <w:szCs w:val="32"/>
          <w:highlight w:val="none"/>
          <w:lang w:val="en-US" w:eastAsia="zh-CN"/>
        </w:rPr>
        <w:t>27.06</w:t>
      </w:r>
      <w:r>
        <w:rPr>
          <w:rFonts w:hint="default" w:ascii="Times New Roman" w:hAnsi="Times New Roman" w:eastAsia="仿宋" w:cs="Times New Roman"/>
          <w:color w:val="auto"/>
          <w:sz w:val="32"/>
          <w:szCs w:val="32"/>
          <w:highlight w:val="none"/>
        </w:rPr>
        <w:t>万元</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城镇职工基本医疗保险缴费</w:t>
      </w:r>
      <w:r>
        <w:rPr>
          <w:rFonts w:hint="eastAsia" w:eastAsia="仿宋" w:cs="Times New Roman"/>
          <w:color w:val="auto"/>
          <w:sz w:val="32"/>
          <w:szCs w:val="32"/>
          <w:highlight w:val="none"/>
          <w:lang w:val="en-US" w:eastAsia="zh-CN"/>
        </w:rPr>
        <w:t>13.35</w:t>
      </w:r>
      <w:r>
        <w:rPr>
          <w:rFonts w:hint="default" w:ascii="Times New Roman" w:hAnsi="Times New Roman" w:eastAsia="仿宋" w:cs="Times New Roman"/>
          <w:color w:val="auto"/>
          <w:sz w:val="32"/>
          <w:szCs w:val="32"/>
          <w:highlight w:val="none"/>
        </w:rPr>
        <w:t>万元</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公务员医疗补助</w:t>
      </w:r>
      <w:r>
        <w:rPr>
          <w:rFonts w:hint="eastAsia" w:eastAsia="仿宋" w:cs="Times New Roman"/>
          <w:color w:val="auto"/>
          <w:sz w:val="32"/>
          <w:szCs w:val="32"/>
          <w:highlight w:val="none"/>
          <w:lang w:val="en-US" w:eastAsia="zh-CN"/>
        </w:rPr>
        <w:t>3.47</w:t>
      </w:r>
      <w:r>
        <w:rPr>
          <w:rFonts w:hint="default" w:ascii="Times New Roman" w:hAnsi="Times New Roman" w:eastAsia="仿宋" w:cs="Times New Roman"/>
          <w:color w:val="auto"/>
          <w:sz w:val="32"/>
          <w:szCs w:val="32"/>
          <w:highlight w:val="none"/>
        </w:rPr>
        <w:t>万元</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住房公积金</w:t>
      </w:r>
      <w:r>
        <w:rPr>
          <w:rFonts w:hint="eastAsia" w:eastAsia="仿宋" w:cs="Times New Roman"/>
          <w:color w:val="auto"/>
          <w:sz w:val="32"/>
          <w:szCs w:val="32"/>
          <w:highlight w:val="none"/>
          <w:lang w:val="en-US" w:eastAsia="zh-CN"/>
        </w:rPr>
        <w:t>20.80</w:t>
      </w:r>
      <w:r>
        <w:rPr>
          <w:rFonts w:hint="default" w:ascii="Times New Roman" w:hAnsi="Times New Roman" w:eastAsia="仿宋" w:cs="Times New Roman"/>
          <w:color w:val="auto"/>
          <w:sz w:val="32"/>
          <w:szCs w:val="32"/>
          <w:highlight w:val="none"/>
        </w:rPr>
        <w:t>万元</w:t>
      </w:r>
      <w:r>
        <w:rPr>
          <w:rFonts w:hint="eastAsia" w:eastAsia="仿宋" w:cs="Times New Roman"/>
          <w:color w:val="auto"/>
          <w:sz w:val="32"/>
          <w:szCs w:val="32"/>
          <w:highlight w:val="none"/>
          <w:lang w:eastAsia="zh-CN"/>
        </w:rPr>
        <w:t>、医疗费</w:t>
      </w:r>
      <w:r>
        <w:rPr>
          <w:rFonts w:hint="eastAsia" w:eastAsia="仿宋" w:cs="Times New Roman"/>
          <w:color w:val="auto"/>
          <w:sz w:val="32"/>
          <w:szCs w:val="32"/>
          <w:highlight w:val="none"/>
          <w:lang w:val="en-US" w:eastAsia="zh-CN"/>
        </w:rPr>
        <w:t>2.16</w:t>
      </w:r>
      <w:r>
        <w:rPr>
          <w:rFonts w:hint="default" w:ascii="Times New Roman" w:hAnsi="Times New Roman" w:eastAsia="仿宋" w:cs="Times New Roman"/>
          <w:color w:val="auto"/>
          <w:sz w:val="32"/>
          <w:szCs w:val="32"/>
          <w:highlight w:val="none"/>
          <w:lang w:eastAsia="zh-CN"/>
        </w:rPr>
        <w:t>。</w:t>
      </w:r>
    </w:p>
    <w:p w14:paraId="4F6A9162">
      <w:pPr>
        <w:numPr>
          <w:ilvl w:val="0"/>
          <w:numId w:val="0"/>
        </w:numPr>
        <w:ind w:firstLine="640" w:firstLineChars="200"/>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w:t>
      </w:r>
      <w:r>
        <w:rPr>
          <w:rFonts w:hint="eastAsia" w:eastAsia="仿宋"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对个人和家庭的补助</w:t>
      </w:r>
      <w:r>
        <w:rPr>
          <w:rFonts w:hint="eastAsia" w:eastAsia="仿宋" w:cs="Times New Roman"/>
          <w:color w:val="auto"/>
          <w:sz w:val="32"/>
          <w:szCs w:val="32"/>
          <w:highlight w:val="none"/>
          <w:lang w:val="en-US" w:eastAsia="zh-CN"/>
        </w:rPr>
        <w:t>13.68</w:t>
      </w:r>
      <w:r>
        <w:rPr>
          <w:rFonts w:hint="default" w:ascii="Times New Roman" w:hAnsi="Times New Roman" w:eastAsia="仿宋" w:cs="Times New Roman"/>
          <w:color w:val="000000" w:themeColor="text1"/>
          <w:sz w:val="32"/>
          <w:szCs w:val="32"/>
          <w:highlight w:val="none"/>
          <w14:textFill>
            <w14:solidFill>
              <w14:schemeClr w14:val="tx1"/>
            </w14:solidFill>
          </w14:textFill>
        </w:rPr>
        <w:t>万元（抚恤金：</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 w:cs="Times New Roman"/>
          <w:color w:val="000000" w:themeColor="text1"/>
          <w:sz w:val="32"/>
          <w:szCs w:val="32"/>
          <w:highlight w:val="none"/>
          <w14:textFill>
            <w14:solidFill>
              <w14:schemeClr w14:val="tx1"/>
            </w14:solidFill>
          </w14:textFill>
        </w:rPr>
        <w:t>万元，行政单位离退休费：</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0.</w:t>
      </w:r>
      <w:r>
        <w:rPr>
          <w:rFonts w:hint="eastAsia" w:eastAsia="仿宋" w:cs="Times New Roman"/>
          <w:color w:val="000000" w:themeColor="text1"/>
          <w:sz w:val="32"/>
          <w:szCs w:val="32"/>
          <w:highlight w:val="none"/>
          <w:lang w:val="en-US" w:eastAsia="zh-CN"/>
          <w14:textFill>
            <w14:solidFill>
              <w14:schemeClr w14:val="tx1"/>
            </w14:solidFill>
          </w14:textFill>
        </w:rPr>
        <w:t>10</w:t>
      </w:r>
      <w:r>
        <w:rPr>
          <w:rFonts w:hint="default" w:ascii="Times New Roman" w:hAnsi="Times New Roman" w:eastAsia="仿宋" w:cs="Times New Roman"/>
          <w:color w:val="000000" w:themeColor="text1"/>
          <w:sz w:val="32"/>
          <w:szCs w:val="32"/>
          <w:highlight w:val="none"/>
          <w14:textFill>
            <w14:solidFill>
              <w14:schemeClr w14:val="tx1"/>
            </w14:solidFill>
          </w14:textFill>
        </w:rPr>
        <w:t>万元</w:t>
      </w:r>
      <w:r>
        <w:rPr>
          <w:rFonts w:hint="eastAsia" w:eastAsia="仿宋" w:cs="Times New Roman"/>
          <w:color w:val="000000" w:themeColor="text1"/>
          <w:sz w:val="32"/>
          <w:szCs w:val="32"/>
          <w:highlight w:val="none"/>
          <w:lang w:eastAsia="zh-CN"/>
          <w14:textFill>
            <w14:solidFill>
              <w14:schemeClr w14:val="tx1"/>
            </w14:solidFill>
          </w14:textFill>
        </w:rPr>
        <w:t>、生活补助</w:t>
      </w:r>
      <w:r>
        <w:rPr>
          <w:rFonts w:hint="eastAsia" w:eastAsia="仿宋" w:cs="Times New Roman"/>
          <w:color w:val="000000" w:themeColor="text1"/>
          <w:sz w:val="32"/>
          <w:szCs w:val="32"/>
          <w:highlight w:val="none"/>
          <w:lang w:val="en-US" w:eastAsia="zh-CN"/>
          <w14:textFill>
            <w14:solidFill>
              <w14:schemeClr w14:val="tx1"/>
            </w14:solidFill>
          </w14:textFill>
        </w:rPr>
        <w:t>13.48万元、医疗费补助0.10万元</w:t>
      </w:r>
      <w:r>
        <w:rPr>
          <w:rFonts w:hint="default" w:ascii="Times New Roman" w:hAnsi="Times New Roman" w:eastAsia="仿宋" w:cs="Times New Roman"/>
          <w:color w:val="000000" w:themeColor="text1"/>
          <w:sz w:val="32"/>
          <w:szCs w:val="32"/>
          <w:highlight w:val="none"/>
          <w14:textFill>
            <w14:solidFill>
              <w14:schemeClr w14:val="tx1"/>
            </w14:solidFill>
          </w14:textFill>
        </w:rPr>
        <w:t>）。</w:t>
      </w:r>
    </w:p>
    <w:p w14:paraId="5BDD9718">
      <w:pPr>
        <w:ind w:firstLine="640" w:firstLineChars="200"/>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 w:cs="Times New Roman"/>
          <w:color w:val="000000" w:themeColor="text1"/>
          <w:sz w:val="32"/>
          <w:szCs w:val="32"/>
          <w:highlight w:val="none"/>
          <w14:textFill>
            <w14:solidFill>
              <w14:schemeClr w14:val="tx1"/>
            </w14:solidFill>
          </w14:textFill>
        </w:rPr>
        <w:t>商品和服务支出</w:t>
      </w:r>
      <w:r>
        <w:rPr>
          <w:rFonts w:hint="eastAsia" w:eastAsia="仿宋" w:cs="Times New Roman"/>
          <w:color w:val="000000" w:themeColor="text1"/>
          <w:sz w:val="32"/>
          <w:szCs w:val="32"/>
          <w:highlight w:val="none"/>
          <w:lang w:val="en-US" w:eastAsia="zh-CN"/>
          <w14:textFill>
            <w14:solidFill>
              <w14:schemeClr w14:val="tx1"/>
            </w14:solidFill>
          </w14:textFill>
        </w:rPr>
        <w:t>19.10</w:t>
      </w:r>
      <w:r>
        <w:rPr>
          <w:rFonts w:hint="default" w:ascii="Times New Roman" w:hAnsi="Times New Roman" w:eastAsia="仿宋" w:cs="Times New Roman"/>
          <w:color w:val="000000" w:themeColor="text1"/>
          <w:sz w:val="32"/>
          <w:szCs w:val="32"/>
          <w:highlight w:val="none"/>
          <w14:textFill>
            <w14:solidFill>
              <w14:schemeClr w14:val="tx1"/>
            </w14:solidFill>
          </w14:textFill>
        </w:rPr>
        <w:t>万元，</w:t>
      </w:r>
      <w:r>
        <w:rPr>
          <w:rFonts w:hint="eastAsia" w:eastAsia="仿宋" w:cs="Times New Roman"/>
          <w:color w:val="000000" w:themeColor="text1"/>
          <w:sz w:val="32"/>
          <w:szCs w:val="32"/>
          <w:highlight w:val="none"/>
          <w:lang w:eastAsia="zh-CN"/>
          <w14:textFill>
            <w14:solidFill>
              <w14:schemeClr w14:val="tx1"/>
            </w14:solidFill>
          </w14:textFill>
        </w:rPr>
        <w:t>其中工会经费</w:t>
      </w:r>
      <w:r>
        <w:rPr>
          <w:rFonts w:hint="eastAsia" w:eastAsia="仿宋" w:cs="Times New Roman"/>
          <w:color w:val="000000" w:themeColor="text1"/>
          <w:sz w:val="32"/>
          <w:szCs w:val="32"/>
          <w:highlight w:val="none"/>
          <w:lang w:val="en-US" w:eastAsia="zh-CN"/>
          <w14:textFill>
            <w14:solidFill>
              <w14:schemeClr w14:val="tx1"/>
            </w14:solidFill>
          </w14:textFill>
        </w:rPr>
        <w:t>4.65万元、基层党建经费0.18万元、用氧补助经费3.15万元、商品和服务支出11.12万元</w:t>
      </w:r>
      <w:r>
        <w:rPr>
          <w:rFonts w:hint="default" w:ascii="Times New Roman" w:hAnsi="Times New Roman" w:eastAsia="仿宋" w:cs="Times New Roman"/>
          <w:color w:val="000000" w:themeColor="text1"/>
          <w:sz w:val="32"/>
          <w:szCs w:val="32"/>
          <w:highlight w:val="none"/>
          <w14:textFill>
            <w14:solidFill>
              <w14:schemeClr w14:val="tx1"/>
            </w14:solidFill>
          </w14:textFill>
        </w:rPr>
        <w:t>。</w:t>
      </w:r>
    </w:p>
    <w:p w14:paraId="0B25EB93">
      <w:pPr>
        <w:ind w:firstLine="640" w:firstLineChars="20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 w:cs="Times New Roman"/>
          <w:color w:val="000000" w:themeColor="text1"/>
          <w:sz w:val="32"/>
          <w:szCs w:val="32"/>
          <w:highlight w:val="none"/>
          <w14:textFill>
            <w14:solidFill>
              <w14:schemeClr w14:val="tx1"/>
            </w14:solidFill>
          </w14:textFill>
        </w:rPr>
        <w:t>项目经费支出</w:t>
      </w:r>
      <w:r>
        <w:rPr>
          <w:rFonts w:hint="eastAsia" w:eastAsia="仿宋" w:cs="Times New Roman"/>
          <w:color w:val="000000" w:themeColor="text1"/>
          <w:sz w:val="32"/>
          <w:szCs w:val="32"/>
          <w:highlight w:val="none"/>
          <w:lang w:val="en-US" w:eastAsia="zh-CN"/>
          <w14:textFill>
            <w14:solidFill>
              <w14:schemeClr w14:val="tx1"/>
            </w14:solidFill>
          </w14:textFill>
        </w:rPr>
        <w:t>287.63</w:t>
      </w:r>
      <w:r>
        <w:rPr>
          <w:rFonts w:hint="default" w:ascii="Times New Roman" w:hAnsi="Times New Roman" w:eastAsia="仿宋" w:cs="Times New Roman"/>
          <w:color w:val="000000" w:themeColor="text1"/>
          <w:sz w:val="32"/>
          <w:szCs w:val="32"/>
          <w:highlight w:val="none"/>
          <w14:textFill>
            <w14:solidFill>
              <w14:schemeClr w14:val="tx1"/>
            </w14:solidFill>
          </w14:textFill>
        </w:rPr>
        <w:t>万元，主要包括：</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检察</w:t>
      </w:r>
      <w:r>
        <w:rPr>
          <w:rFonts w:hint="default" w:ascii="Times New Roman" w:hAnsi="Times New Roman" w:eastAsia="仿宋" w:cs="Times New Roman"/>
          <w:color w:val="000000" w:themeColor="text1"/>
          <w:sz w:val="32"/>
          <w:szCs w:val="32"/>
          <w:highlight w:val="none"/>
          <w14:textFill>
            <w14:solidFill>
              <w14:schemeClr w14:val="tx1"/>
            </w14:solidFill>
          </w14:textFill>
        </w:rPr>
        <w:t>办案业务经费</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自治区专款</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w:t>
      </w:r>
      <w:r>
        <w:rPr>
          <w:rFonts w:hint="eastAsia" w:eastAsia="仿宋" w:cs="Times New Roman"/>
          <w:color w:val="000000" w:themeColor="text1"/>
          <w:sz w:val="32"/>
          <w:szCs w:val="32"/>
          <w:highlight w:val="none"/>
          <w:lang w:val="en-US" w:eastAsia="zh-CN"/>
          <w14:textFill>
            <w14:solidFill>
              <w14:schemeClr w14:val="tx1"/>
            </w14:solidFill>
          </w14:textFill>
        </w:rPr>
        <w:t>199.18</w:t>
      </w:r>
      <w:r>
        <w:rPr>
          <w:rFonts w:hint="default" w:ascii="Times New Roman" w:hAnsi="Times New Roman" w:eastAsia="仿宋" w:cs="Times New Roman"/>
          <w:color w:val="000000" w:themeColor="text1"/>
          <w:sz w:val="32"/>
          <w:szCs w:val="32"/>
          <w:highlight w:val="none"/>
          <w14:textFill>
            <w14:solidFill>
              <w14:schemeClr w14:val="tx1"/>
            </w14:solidFill>
          </w14:textFill>
        </w:rPr>
        <w:t>万元</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检察</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装备经费（自治区专款）</w:t>
      </w:r>
      <w:r>
        <w:rPr>
          <w:rFonts w:hint="eastAsia" w:eastAsia="仿宋" w:cs="Times New Roman"/>
          <w:color w:val="000000" w:themeColor="text1"/>
          <w:sz w:val="32"/>
          <w:szCs w:val="32"/>
          <w:highlight w:val="none"/>
          <w:lang w:val="en-US" w:eastAsia="zh-CN"/>
          <w14:textFill>
            <w14:solidFill>
              <w14:schemeClr w14:val="tx1"/>
            </w14:solidFill>
          </w14:textFill>
        </w:rPr>
        <w:t>80.55</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万元，司法救助进</w:t>
      </w:r>
      <w:r>
        <w:rPr>
          <w:rFonts w:hint="eastAsia" w:eastAsia="仿宋"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.0万元</w:t>
      </w:r>
      <w:r>
        <w:rPr>
          <w:rFonts w:hint="eastAsia" w:eastAsia="仿宋" w:cs="Times New Roman"/>
          <w:color w:val="000000" w:themeColor="text1"/>
          <w:sz w:val="32"/>
          <w:szCs w:val="32"/>
          <w:highlight w:val="none"/>
          <w:lang w:val="en-US" w:eastAsia="zh-CN"/>
          <w14:textFill>
            <w14:solidFill>
              <w14:schemeClr w14:val="tx1"/>
            </w14:solidFill>
          </w14:textFill>
        </w:rPr>
        <w:t>，强基惠民各类驻村经费4.9万元</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；上年结转资金</w:t>
      </w:r>
      <w:r>
        <w:rPr>
          <w:rFonts w:hint="eastAsia" w:eastAsia="仿宋" w:cs="Times New Roman"/>
          <w:color w:val="000000" w:themeColor="text1"/>
          <w:sz w:val="32"/>
          <w:szCs w:val="32"/>
          <w:highlight w:val="none"/>
          <w:lang w:val="en-US" w:eastAsia="zh-CN"/>
          <w14:textFill>
            <w14:solidFill>
              <w14:schemeClr w14:val="tx1"/>
            </w14:solidFill>
          </w14:textFill>
        </w:rPr>
        <w:t>113.15</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万元</w:t>
      </w:r>
      <w:r>
        <w:rPr>
          <w:rFonts w:hint="eastAsia" w:eastAsia="仿宋" w:cs="Times New Roman"/>
          <w:color w:val="000000" w:themeColor="text1"/>
          <w:sz w:val="32"/>
          <w:szCs w:val="32"/>
          <w:highlight w:val="none"/>
          <w:lang w:val="en-US" w:eastAsia="zh-CN"/>
          <w14:textFill>
            <w14:solidFill>
              <w14:schemeClr w14:val="tx1"/>
            </w14:solidFill>
          </w14:textFill>
        </w:rPr>
        <w:t>包含在中央政法转移支付资金中</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p>
    <w:p w14:paraId="6463A2FC">
      <w:pPr>
        <w:ind w:firstLine="640" w:firstLineChars="200"/>
        <w:rPr>
          <w:rFonts w:hint="default" w:ascii="Times New Roman" w:hAnsi="Times New Roman" w:eastAsia="仿宋" w:cs="Times New Roman"/>
          <w:color w:val="000000" w:themeColor="text1"/>
          <w:sz w:val="32"/>
          <w:szCs w:val="32"/>
          <w:highlight w:val="yellow"/>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七、</w:t>
      </w:r>
      <w:r>
        <w:rPr>
          <w:rFonts w:hint="default" w:ascii="Times New Roman" w:hAnsi="Times New Roman" w:eastAsia="黑体" w:cs="Times New Roman"/>
          <w:color w:val="000000" w:themeColor="text1"/>
          <w:sz w:val="32"/>
          <w:szCs w:val="32"/>
          <w:lang w:eastAsia="zh-CN"/>
          <w14:textFill>
            <w14:solidFill>
              <w14:schemeClr w14:val="tx1"/>
            </w14:solidFill>
          </w14:textFill>
        </w:rPr>
        <w:t>202</w:t>
      </w:r>
      <w:r>
        <w:rPr>
          <w:rFonts w:hint="eastAsia" w:eastAsia="黑体" w:cs="Times New Roman"/>
          <w:color w:val="000000" w:themeColor="text1"/>
          <w:sz w:val="32"/>
          <w:szCs w:val="32"/>
          <w:lang w:val="en-US" w:eastAsia="zh-CN"/>
          <w14:textFill>
            <w14:solidFill>
              <w14:schemeClr w14:val="tx1"/>
            </w14:solidFill>
          </w14:textFill>
        </w:rPr>
        <w:t>6</w:t>
      </w:r>
      <w:r>
        <w:rPr>
          <w:rFonts w:hint="default" w:ascii="Times New Roman" w:hAnsi="Times New Roman" w:eastAsia="黑体" w:cs="Times New Roman"/>
          <w:color w:val="000000" w:themeColor="text1"/>
          <w:sz w:val="32"/>
          <w:szCs w:val="32"/>
          <w14:textFill>
            <w14:solidFill>
              <w14:schemeClr w14:val="tx1"/>
            </w14:solidFill>
          </w14:textFill>
        </w:rPr>
        <w:t>年度一般公共预算“三公”经费预算情况说明</w:t>
      </w:r>
    </w:p>
    <w:p w14:paraId="7CAEA694">
      <w:pPr>
        <w:ind w:firstLine="640" w:firstLineChars="200"/>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202</w:t>
      </w:r>
      <w:r>
        <w:rPr>
          <w:rFonts w:hint="eastAsia" w:eastAsia="仿宋"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年</w:t>
      </w:r>
      <w:r>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t>“三公”</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经费为</w:t>
      </w:r>
      <w:r>
        <w:rPr>
          <w:rFonts w:hint="eastAsia" w:eastAsia="仿宋" w:cs="Times New Roman"/>
          <w:color w:val="000000" w:themeColor="text1"/>
          <w:sz w:val="32"/>
          <w:szCs w:val="32"/>
          <w:highlight w:val="none"/>
          <w:lang w:val="en-US" w:eastAsia="zh-CN"/>
          <w14:textFill>
            <w14:solidFill>
              <w14:schemeClr w14:val="tx1"/>
            </w14:solidFill>
          </w14:textFill>
        </w:rPr>
        <w:t>12.81</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万元，比去年</w:t>
      </w:r>
      <w:r>
        <w:rPr>
          <w:rFonts w:hint="eastAsia" w:eastAsia="仿宋" w:cs="Times New Roman"/>
          <w:color w:val="000000" w:themeColor="text1"/>
          <w:sz w:val="32"/>
          <w:szCs w:val="32"/>
          <w:highlight w:val="none"/>
          <w:lang w:val="en-US" w:eastAsia="zh-CN"/>
          <w14:textFill>
            <w14:solidFill>
              <w14:schemeClr w14:val="tx1"/>
            </w14:solidFill>
          </w14:textFill>
        </w:rPr>
        <w:t>减少4.19</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万元。其中：公务接待费</w:t>
      </w:r>
      <w:r>
        <w:rPr>
          <w:rFonts w:hint="eastAsia" w:eastAsia="仿宋"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万元，公务运行维护费</w:t>
      </w:r>
      <w:r>
        <w:rPr>
          <w:rFonts w:hint="eastAsia" w:eastAsia="仿宋" w:cs="Times New Roman"/>
          <w:color w:val="000000" w:themeColor="text1"/>
          <w:sz w:val="32"/>
          <w:szCs w:val="32"/>
          <w:highlight w:val="none"/>
          <w:lang w:val="en-US" w:eastAsia="zh-CN"/>
          <w14:textFill>
            <w14:solidFill>
              <w14:schemeClr w14:val="tx1"/>
            </w14:solidFill>
          </w14:textFill>
        </w:rPr>
        <w:t>12.81</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万元比去年</w:t>
      </w:r>
      <w:r>
        <w:rPr>
          <w:rFonts w:hint="eastAsia" w:eastAsia="仿宋" w:cs="Times New Roman"/>
          <w:color w:val="000000" w:themeColor="text1"/>
          <w:sz w:val="32"/>
          <w:szCs w:val="32"/>
          <w:highlight w:val="none"/>
          <w:lang w:val="en-US" w:eastAsia="zh-CN"/>
          <w14:textFill>
            <w14:solidFill>
              <w14:schemeClr w14:val="tx1"/>
            </w14:solidFill>
          </w14:textFill>
        </w:rPr>
        <w:t>减少4.19</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万元</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万元。主要原因为上年</w:t>
      </w:r>
      <w:r>
        <w:rPr>
          <w:rFonts w:hint="eastAsia" w:eastAsia="仿宋" w:cs="Times New Roman"/>
          <w:color w:val="000000" w:themeColor="text1"/>
          <w:sz w:val="32"/>
          <w:szCs w:val="32"/>
          <w:highlight w:val="none"/>
          <w:lang w:val="en-US" w:eastAsia="zh-CN"/>
          <w14:textFill>
            <w14:solidFill>
              <w14:schemeClr w14:val="tx1"/>
            </w14:solidFill>
          </w14:textFill>
        </w:rPr>
        <w:t>度</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公务用车运行维护费</w:t>
      </w:r>
      <w:r>
        <w:rPr>
          <w:rFonts w:hint="eastAsia" w:eastAsia="仿宋" w:cs="Times New Roman"/>
          <w:color w:val="000000" w:themeColor="text1"/>
          <w:sz w:val="32"/>
          <w:szCs w:val="32"/>
          <w:highlight w:val="none"/>
          <w:lang w:val="en-US" w:eastAsia="zh-CN"/>
          <w14:textFill>
            <w14:solidFill>
              <w14:schemeClr w14:val="tx1"/>
            </w14:solidFill>
          </w14:textFill>
        </w:rPr>
        <w:t>中包含政法转移支付资金中的公车运行维护费</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。因公出国（境）费用未安排预算。</w:t>
      </w:r>
    </w:p>
    <w:p w14:paraId="2F0512EF">
      <w:pPr>
        <w:numPr>
          <w:ilvl w:val="0"/>
          <w:numId w:val="0"/>
        </w:numPr>
        <w:spacing w:line="560" w:lineRule="auto"/>
        <w:ind w:firstLine="640" w:firstLineChars="200"/>
        <w:rPr>
          <w:rFonts w:hint="default" w:ascii="Times New Roman" w:hAnsi="Times New Roman" w:eastAsia="仿宋" w:cs="Times New Roman"/>
          <w:color w:val="000000" w:themeColor="text1"/>
          <w:sz w:val="32"/>
          <w:szCs w:val="32"/>
          <w:highlight w:val="yellow"/>
          <w14:textFill>
            <w14:solidFill>
              <w14:schemeClr w14:val="tx1"/>
            </w14:solidFill>
          </w14:textFill>
        </w:rPr>
      </w:pPr>
      <w:r>
        <w:rPr>
          <w:rFonts w:hint="default" w:ascii="Times New Roman" w:hAnsi="Times New Roman" w:eastAsia="方正黑体简体" w:cs="Times New Roman"/>
          <w:color w:val="000000" w:themeColor="text1"/>
          <w:sz w:val="32"/>
          <w:szCs w:val="32"/>
          <w:highlight w:val="none"/>
          <w:lang w:val="en-US" w:eastAsia="zh-CN"/>
          <w14:textFill>
            <w14:solidFill>
              <w14:schemeClr w14:val="tx1"/>
            </w14:solidFill>
          </w14:textFill>
        </w:rPr>
        <w:t>八、202</w:t>
      </w:r>
      <w:r>
        <w:rPr>
          <w:rFonts w:hint="eastAsia" w:eastAsia="方正黑体简体"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方正黑体简体" w:cs="Times New Roman"/>
          <w:color w:val="000000" w:themeColor="text1"/>
          <w:sz w:val="32"/>
          <w:szCs w:val="32"/>
          <w:highlight w:val="none"/>
          <w:lang w:val="en-US" w:eastAsia="zh-CN"/>
          <w14:textFill>
            <w14:solidFill>
              <w14:schemeClr w14:val="tx1"/>
            </w14:solidFill>
          </w14:textFill>
        </w:rPr>
        <w:t>年度政府性基金预算支出情况说明</w:t>
      </w:r>
    </w:p>
    <w:p w14:paraId="6E398055">
      <w:pPr>
        <w:ind w:firstLine="640" w:firstLineChars="200"/>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202</w:t>
      </w:r>
      <w:r>
        <w:rPr>
          <w:rFonts w:hint="eastAsia" w:eastAsia="仿宋"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年政府性基金预算当年拨款0万元,比202</w:t>
      </w:r>
      <w:r>
        <w:rPr>
          <w:rFonts w:hint="eastAsia" w:eastAsia="仿宋"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年执行数减少0万元；政府性基金预算“三公”经费无预算无支出。</w:t>
      </w:r>
    </w:p>
    <w:p w14:paraId="60049A27">
      <w:pPr>
        <w:autoSpaceDE w:val="0"/>
        <w:autoSpaceDN w:val="0"/>
        <w:adjustRightInd w:val="0"/>
        <w:ind w:firstLine="320" w:firstLineChars="100"/>
        <w:rPr>
          <w:rFonts w:hint="default" w:ascii="Times New Roman" w:hAnsi="Times New Roman" w:eastAsia="楷体" w:cs="Times New Roman"/>
          <w:color w:val="000000" w:themeColor="text1"/>
          <w:sz w:val="32"/>
          <w:szCs w:val="32"/>
          <w:highlight w:val="none"/>
          <w14:textFill>
            <w14:solidFill>
              <w14:schemeClr w14:val="tx1"/>
            </w14:solidFill>
          </w14:textFill>
        </w:rPr>
      </w:pPr>
      <w:r>
        <w:rPr>
          <w:rFonts w:hint="default" w:ascii="Times New Roman" w:hAnsi="Times New Roman" w:eastAsia="楷体" w:cs="Times New Roman"/>
          <w:color w:val="000000" w:themeColor="text1"/>
          <w:sz w:val="32"/>
          <w:szCs w:val="32"/>
          <w:highlight w:val="none"/>
          <w14:textFill>
            <w14:solidFill>
              <w14:schemeClr w14:val="tx1"/>
            </w14:solidFill>
          </w14:textFill>
        </w:rPr>
        <w:t>（</w:t>
      </w:r>
      <w:r>
        <w:rPr>
          <w:rFonts w:hint="default" w:ascii="Times New Roman" w:hAnsi="Times New Roman" w:eastAsia="楷体" w:cs="Times New Roman"/>
          <w:color w:val="000000" w:themeColor="text1"/>
          <w:sz w:val="32"/>
          <w:szCs w:val="32"/>
          <w:highlight w:val="none"/>
          <w:lang w:eastAsia="zh-CN"/>
          <w14:textFill>
            <w14:solidFill>
              <w14:schemeClr w14:val="tx1"/>
            </w14:solidFill>
          </w14:textFill>
        </w:rPr>
        <w:t>一</w:t>
      </w:r>
      <w:r>
        <w:rPr>
          <w:rFonts w:hint="default" w:ascii="Times New Roman" w:hAnsi="Times New Roman" w:eastAsia="楷体" w:cs="Times New Roman"/>
          <w:color w:val="000000" w:themeColor="text1"/>
          <w:sz w:val="32"/>
          <w:szCs w:val="32"/>
          <w:highlight w:val="none"/>
          <w14:textFill>
            <w14:solidFill>
              <w14:schemeClr w14:val="tx1"/>
            </w14:solidFill>
          </w14:textFill>
        </w:rPr>
        <w:t>）政府采购情况说明。</w:t>
      </w:r>
    </w:p>
    <w:p w14:paraId="48A18836">
      <w:pPr>
        <w:ind w:firstLine="640" w:firstLineChars="200"/>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202</w:t>
      </w:r>
      <w:r>
        <w:rPr>
          <w:rFonts w:hint="eastAsia" w:eastAsia="仿宋"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年本部门及所属各预算单位政府采购预算总额0万元，其中：政府采购货物预算0万元、政府采购工程预算0万元、政府采购服务预算0万元。</w:t>
      </w:r>
    </w:p>
    <w:p w14:paraId="1FA445D5">
      <w:pPr>
        <w:autoSpaceDE w:val="0"/>
        <w:autoSpaceDN w:val="0"/>
        <w:adjustRightInd w:val="0"/>
        <w:ind w:firstLine="640" w:firstLineChars="200"/>
        <w:jc w:val="left"/>
        <w:rPr>
          <w:rFonts w:hint="default" w:ascii="Times New Roman" w:hAnsi="Times New Roman" w:eastAsia="楷体" w:cs="Times New Roman"/>
          <w:color w:val="000000" w:themeColor="text1"/>
          <w:sz w:val="32"/>
          <w:szCs w:val="32"/>
          <w14:textFill>
            <w14:solidFill>
              <w14:schemeClr w14:val="tx1"/>
            </w14:solidFill>
          </w14:textFill>
        </w:rPr>
      </w:pPr>
      <w:r>
        <w:rPr>
          <w:rFonts w:hint="default" w:ascii="Times New Roman" w:hAnsi="Times New Roman" w:eastAsia="楷体" w:cs="Times New Roman"/>
          <w:color w:val="000000" w:themeColor="text1"/>
          <w:sz w:val="32"/>
          <w:szCs w:val="32"/>
          <w14:textFill>
            <w14:solidFill>
              <w14:schemeClr w14:val="tx1"/>
            </w14:solidFill>
          </w14:textFill>
        </w:rPr>
        <w:t>（</w:t>
      </w:r>
      <w:r>
        <w:rPr>
          <w:rFonts w:hint="default" w:ascii="Times New Roman" w:hAnsi="Times New Roman" w:eastAsia="楷体" w:cs="Times New Roman"/>
          <w:color w:val="000000" w:themeColor="text1"/>
          <w:sz w:val="32"/>
          <w:szCs w:val="32"/>
          <w:lang w:eastAsia="zh-CN"/>
          <w14:textFill>
            <w14:solidFill>
              <w14:schemeClr w14:val="tx1"/>
            </w14:solidFill>
          </w14:textFill>
        </w:rPr>
        <w:t>二</w:t>
      </w:r>
      <w:r>
        <w:rPr>
          <w:rFonts w:hint="default" w:ascii="Times New Roman" w:hAnsi="Times New Roman" w:eastAsia="楷体" w:cs="Times New Roman"/>
          <w:color w:val="000000" w:themeColor="text1"/>
          <w:sz w:val="32"/>
          <w:szCs w:val="32"/>
          <w14:textFill>
            <w14:solidFill>
              <w14:schemeClr w14:val="tx1"/>
            </w14:solidFill>
          </w14:textFill>
        </w:rPr>
        <w:t>）国有资产占有使用情况说明。</w:t>
      </w:r>
    </w:p>
    <w:p w14:paraId="72BF00B1">
      <w:pPr>
        <w:ind w:firstLine="640" w:firstLineChars="200"/>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截至202</w:t>
      </w:r>
      <w:r>
        <w:rPr>
          <w:rFonts w:hint="eastAsia" w:eastAsia="仿宋"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年1月30日，那曲市双湖县人民检察院共有车辆3辆。其中，业务用车2辆；特种车辆1辆；202</w:t>
      </w:r>
      <w:r>
        <w:rPr>
          <w:rFonts w:hint="eastAsia" w:eastAsia="仿宋"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年底我院资产总额为304.76万元，其中：1.流动资产0万元，包括货币资金0万元、财政应返额度0万元、其他应收款0万元。</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2.固定资产原值304.76万元，包括土地、房屋及建筑物136.43万元、通用设备154.43万元、专用设备7.46万元、家具、用具、装具6.44万元。3.无形资产（土地使用面积）</w:t>
      </w:r>
      <w:r>
        <w:rPr>
          <w:rFonts w:hint="eastAsia" w:eastAsia="仿宋" w:cs="Times New Roman"/>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平方米。</w:t>
      </w:r>
    </w:p>
    <w:p w14:paraId="6D08DCC2">
      <w:pPr>
        <w:spacing w:line="588" w:lineRule="exact"/>
        <w:ind w:firstLine="640" w:firstLineChars="20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（四）</w:t>
      </w:r>
      <w:r>
        <w:rPr>
          <w:rFonts w:hint="eastAsia" w:ascii="楷体" w:hAnsi="楷体" w:eastAsia="楷体" w:cs="楷体"/>
          <w:color w:val="000000" w:themeColor="text1"/>
          <w:sz w:val="32"/>
          <w:szCs w:val="32"/>
          <w:lang w:eastAsia="zh-CN"/>
          <w14:textFill>
            <w14:solidFill>
              <w14:schemeClr w14:val="tx1"/>
            </w14:solidFill>
          </w14:textFill>
        </w:rPr>
        <w:t>202</w:t>
      </w:r>
      <w:r>
        <w:rPr>
          <w:rFonts w:hint="eastAsia" w:ascii="楷体" w:hAnsi="楷体" w:eastAsia="楷体" w:cs="楷体"/>
          <w:color w:val="000000" w:themeColor="text1"/>
          <w:sz w:val="32"/>
          <w:szCs w:val="32"/>
          <w:lang w:val="en-US" w:eastAsia="zh-CN"/>
          <w14:textFill>
            <w14:solidFill>
              <w14:schemeClr w14:val="tx1"/>
            </w14:solidFill>
          </w14:textFill>
        </w:rPr>
        <w:t>6</w:t>
      </w:r>
      <w:r>
        <w:rPr>
          <w:rFonts w:hint="eastAsia" w:ascii="楷体" w:hAnsi="楷体" w:eastAsia="楷体" w:cs="楷体"/>
          <w:color w:val="000000" w:themeColor="text1"/>
          <w:sz w:val="32"/>
          <w:szCs w:val="32"/>
          <w14:textFill>
            <w14:solidFill>
              <w14:schemeClr w14:val="tx1"/>
            </w14:solidFill>
          </w14:textFill>
        </w:rPr>
        <w:t>年预算绩效目标管理情况。</w:t>
      </w:r>
    </w:p>
    <w:p w14:paraId="0972FA13">
      <w:pPr>
        <w:spacing w:line="588" w:lineRule="exact"/>
        <w:ind w:firstLine="640" w:firstLineChars="200"/>
        <w:rPr>
          <w:rFonts w:hint="eastAsia" w:ascii="仿宋" w:hAnsi="仿宋" w:eastAsia="仿宋"/>
          <w:color w:val="000000" w:themeColor="text1"/>
          <w:sz w:val="32"/>
          <w:szCs w:val="32"/>
          <w:highlight w:val="none"/>
          <w:lang w:eastAsia="zh-CN"/>
          <w14:textFill>
            <w14:solidFill>
              <w14:schemeClr w14:val="tx1"/>
            </w14:solidFill>
          </w14:textFill>
        </w:rPr>
      </w:pP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202</w:t>
      </w:r>
      <w:r>
        <w:rPr>
          <w:rFonts w:hint="eastAsia" w:eastAsia="仿宋" w:cs="Times New Roman"/>
          <w:color w:val="000000" w:themeColor="text1"/>
          <w:sz w:val="32"/>
          <w:szCs w:val="32"/>
          <w:highlight w:val="none"/>
          <w:lang w:val="en-US" w:eastAsia="zh-CN"/>
          <w14:textFill>
            <w14:solidFill>
              <w14:schemeClr w14:val="tx1"/>
            </w14:solidFill>
          </w14:textFill>
        </w:rPr>
        <w:t>6</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年实现财政支出绩效目标管理全覆盖，实行绩效目标管理，总资金</w:t>
      </w:r>
      <w:r>
        <w:rPr>
          <w:rFonts w:hint="eastAsia" w:eastAsia="仿宋" w:cs="Times New Roman"/>
          <w:color w:val="000000" w:themeColor="text1"/>
          <w:sz w:val="32"/>
          <w:szCs w:val="32"/>
          <w:highlight w:val="none"/>
          <w:lang w:val="en-US" w:eastAsia="zh-CN"/>
          <w14:textFill>
            <w14:solidFill>
              <w14:schemeClr w14:val="tx1"/>
            </w14:solidFill>
          </w14:textFill>
        </w:rPr>
        <w:t>174.48</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元</w:t>
      </w:r>
      <w:r>
        <w:rPr>
          <w:rFonts w:hint="eastAsia" w:eastAsia="仿宋" w:cs="Times New Roman"/>
          <w:color w:val="000000" w:themeColor="text1"/>
          <w:sz w:val="32"/>
          <w:szCs w:val="32"/>
          <w:highlight w:val="none"/>
          <w:lang w:val="en-US" w:eastAsia="zh-CN"/>
          <w14:textFill>
            <w14:solidFill>
              <w14:schemeClr w14:val="tx1"/>
            </w14:solidFill>
          </w14:textFill>
        </w:rPr>
        <w:t>（不含上年结转结余项目113.15万元）</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，占年初项目支出预算总额的</w:t>
      </w:r>
      <w:r>
        <w:rPr>
          <w:rFonts w:hint="eastAsia" w:eastAsia="方正仿宋简体" w:cs="Times New Roman"/>
          <w:color w:val="000000" w:themeColor="text1"/>
          <w:sz w:val="32"/>
          <w:szCs w:val="32"/>
          <w:highlight w:val="none"/>
          <w:lang w:val="en-US" w:eastAsia="zh-CN"/>
          <w14:textFill>
            <w14:solidFill>
              <w14:schemeClr w14:val="tx1"/>
            </w14:solidFill>
          </w14:textFill>
        </w:rPr>
        <w:t>60.66%</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。其中：强基惠民驻村经费</w:t>
      </w:r>
      <w:r>
        <w:rPr>
          <w:rFonts w:hint="eastAsia" w:eastAsia="仿宋" w:cs="Times New Roman"/>
          <w:color w:val="000000" w:themeColor="text1"/>
          <w:sz w:val="32"/>
          <w:szCs w:val="32"/>
          <w:highlight w:val="none"/>
          <w:lang w:val="en-US" w:eastAsia="zh-CN"/>
          <w14:textFill>
            <w14:solidFill>
              <w14:schemeClr w14:val="tx1"/>
            </w14:solidFill>
          </w14:textFill>
        </w:rPr>
        <w:t>4.90</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万元</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w:t>
      </w:r>
      <w:r>
        <w:rPr>
          <w:rFonts w:hint="eastAsia" w:eastAsia="仿宋" w:cs="Times New Roman"/>
          <w:color w:val="000000" w:themeColor="text1"/>
          <w:sz w:val="32"/>
          <w:szCs w:val="32"/>
          <w:highlight w:val="none"/>
          <w:lang w:val="en-US" w:eastAsia="zh-CN"/>
          <w14:textFill>
            <w14:solidFill>
              <w14:schemeClr w14:val="tx1"/>
            </w14:solidFill>
          </w14:textFill>
        </w:rPr>
        <w:t>司法救助金6.00万元</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w:t>
      </w:r>
    </w:p>
    <w:p w14:paraId="1E505E85">
      <w:pPr>
        <w:spacing w:line="588" w:lineRule="exact"/>
        <w:ind w:firstLine="640" w:firstLineChars="200"/>
        <w:rPr>
          <w:rFonts w:hint="eastAsia" w:ascii="楷体" w:hAnsi="楷体" w:eastAsia="楷体" w:cs="楷体"/>
          <w:color w:val="000000" w:themeColor="text1"/>
          <w:sz w:val="32"/>
          <w:szCs w:val="32"/>
          <w:highlight w:val="none"/>
          <w14:textFill>
            <w14:solidFill>
              <w14:schemeClr w14:val="tx1"/>
            </w14:solidFill>
          </w14:textFill>
        </w:rPr>
      </w:pPr>
      <w:r>
        <w:rPr>
          <w:rFonts w:hint="eastAsia" w:ascii="楷体" w:hAnsi="楷体" w:eastAsia="楷体" w:cs="楷体"/>
          <w:color w:val="000000" w:themeColor="text1"/>
          <w:sz w:val="32"/>
          <w:szCs w:val="32"/>
          <w:highlight w:val="none"/>
          <w14:textFill>
            <w14:solidFill>
              <w14:schemeClr w14:val="tx1"/>
            </w14:solidFill>
          </w14:textFill>
        </w:rPr>
        <w:t>（五）扶贫资金管理使用情况及绩效目标情况说明。</w:t>
      </w:r>
    </w:p>
    <w:p w14:paraId="22E2E45A">
      <w:pPr>
        <w:ind w:firstLine="640" w:firstLineChars="200"/>
        <w:rPr>
          <w:rFonts w:ascii="仿宋" w:hAnsi="仿宋" w:eastAsia="仿宋"/>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202</w:t>
      </w:r>
      <w:r>
        <w:rPr>
          <w:rFonts w:hint="eastAsia" w:eastAsia="仿宋" w:cs="Times New Roman"/>
          <w:color w:val="000000" w:themeColor="text1"/>
          <w:sz w:val="32"/>
          <w:szCs w:val="32"/>
          <w:highlight w:val="none"/>
          <w:lang w:val="en-US" w:eastAsia="zh-CN"/>
          <w14:textFill>
            <w14:solidFill>
              <w14:schemeClr w14:val="tx1"/>
            </w14:solidFill>
          </w14:textFill>
        </w:rPr>
        <w:t>6</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年部门年初预算中本院没有安排扶贫资金。</w:t>
      </w:r>
    </w:p>
    <w:p w14:paraId="1EC12B9D">
      <w:pPr>
        <w:ind w:firstLine="640" w:firstLineChars="200"/>
        <w:rPr>
          <w:rFonts w:hint="eastAsia" w:ascii="楷体" w:hAnsi="楷体" w:eastAsia="楷体" w:cs="楷体"/>
          <w:color w:val="000000" w:themeColor="text1"/>
          <w:sz w:val="32"/>
          <w:szCs w:val="32"/>
          <w:highlight w:val="none"/>
          <w14:textFill>
            <w14:solidFill>
              <w14:schemeClr w14:val="tx1"/>
            </w14:solidFill>
          </w14:textFill>
        </w:rPr>
      </w:pPr>
      <w:r>
        <w:rPr>
          <w:rFonts w:hint="eastAsia" w:ascii="楷体" w:hAnsi="楷体" w:eastAsia="楷体" w:cs="楷体"/>
          <w:color w:val="000000" w:themeColor="text1"/>
          <w:sz w:val="32"/>
          <w:szCs w:val="32"/>
          <w:highlight w:val="none"/>
          <w14:textFill>
            <w14:solidFill>
              <w14:schemeClr w14:val="tx1"/>
            </w14:solidFill>
          </w14:textFill>
        </w:rPr>
        <w:t>（六）政府债务情况。</w:t>
      </w:r>
    </w:p>
    <w:p w14:paraId="6CAAC932">
      <w:pPr>
        <w:ind w:firstLine="640" w:firstLineChars="200"/>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202</w:t>
      </w:r>
      <w:r>
        <w:rPr>
          <w:rFonts w:hint="eastAsia" w:eastAsia="仿宋" w:cs="Times New Roman"/>
          <w:color w:val="000000" w:themeColor="text1"/>
          <w:sz w:val="32"/>
          <w:szCs w:val="32"/>
          <w:highlight w:val="none"/>
          <w:lang w:val="en-US" w:eastAsia="zh-CN"/>
          <w14:textFill>
            <w14:solidFill>
              <w14:schemeClr w14:val="tx1"/>
            </w14:solidFill>
          </w14:textFill>
        </w:rPr>
        <w:t>6</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年本院无政府债务。</w:t>
      </w:r>
    </w:p>
    <w:p w14:paraId="1D86F308">
      <w:pPr>
        <w:jc w:val="center"/>
        <w:rPr>
          <w:rFonts w:hint="eastAsia" w:ascii="方正小标宋简体" w:hAnsi="仿宋" w:eastAsia="方正小标宋简体"/>
          <w:color w:val="000000" w:themeColor="text1"/>
          <w:sz w:val="32"/>
          <w:szCs w:val="32"/>
          <w14:textFill>
            <w14:solidFill>
              <w14:schemeClr w14:val="tx1"/>
            </w14:solidFill>
          </w14:textFill>
        </w:rPr>
      </w:pPr>
      <w:r>
        <w:rPr>
          <w:rFonts w:hint="eastAsia" w:ascii="方正小标宋简体" w:hAnsi="仿宋" w:eastAsia="方正小标宋简体"/>
          <w:color w:val="000000" w:themeColor="text1"/>
          <w:sz w:val="32"/>
          <w:szCs w:val="32"/>
          <w14:textFill>
            <w14:solidFill>
              <w14:schemeClr w14:val="tx1"/>
            </w14:solidFill>
          </w14:textFill>
        </w:rPr>
        <w:t>第四部分名词解释</w:t>
      </w:r>
    </w:p>
    <w:p w14:paraId="2006AA5B">
      <w:pPr>
        <w:jc w:val="center"/>
        <w:rPr>
          <w:rFonts w:ascii="仿宋" w:hAnsi="仿宋" w:eastAsia="仿宋"/>
          <w:color w:val="000000" w:themeColor="text1"/>
          <w:sz w:val="32"/>
          <w:szCs w:val="32"/>
          <w14:textFill>
            <w14:solidFill>
              <w14:schemeClr w14:val="tx1"/>
            </w14:solidFill>
          </w14:textFill>
        </w:rPr>
      </w:pPr>
      <w:r>
        <w:rPr>
          <w:rFonts w:hint="eastAsia" w:ascii="方正小标宋简体" w:hAnsi="仿宋" w:eastAsia="方正小标宋简体"/>
          <w:color w:val="000000" w:themeColor="text1"/>
          <w:sz w:val="32"/>
          <w:szCs w:val="32"/>
          <w:lang w:val="en-US" w:eastAsia="zh-CN"/>
          <w14:textFill>
            <w14:solidFill>
              <w14:schemeClr w14:val="tx1"/>
            </w14:solidFill>
          </w14:textFill>
        </w:rPr>
        <w:t xml:space="preserve">    </w:t>
      </w:r>
      <w:r>
        <w:rPr>
          <w:rFonts w:hint="eastAsia" w:ascii="黑体" w:hAnsi="黑体" w:eastAsia="黑体"/>
          <w:color w:val="000000" w:themeColor="text1"/>
          <w:sz w:val="32"/>
          <w:szCs w:val="32"/>
          <w14:textFill>
            <w14:solidFill>
              <w14:schemeClr w14:val="tx1"/>
            </w14:solidFill>
          </w14:textFill>
        </w:rPr>
        <w:t>一、一般公共预算拨款收入：</w:t>
      </w:r>
      <w:r>
        <w:rPr>
          <w:rFonts w:hint="eastAsia" w:ascii="仿宋" w:hAnsi="仿宋" w:eastAsia="仿宋"/>
          <w:color w:val="000000" w:themeColor="text1"/>
          <w:sz w:val="32"/>
          <w:szCs w:val="32"/>
          <w14:textFill>
            <w14:solidFill>
              <w14:schemeClr w14:val="tx1"/>
            </w14:solidFill>
          </w14:textFill>
        </w:rPr>
        <w:t>指财政部门当年拨付的资金。</w:t>
      </w:r>
    </w:p>
    <w:p w14:paraId="5AA367CA">
      <w:pPr>
        <w:ind w:firstLine="640" w:firstLineChars="200"/>
        <w:rPr>
          <w:rFonts w:ascii="仿宋" w:hAnsi="仿宋" w:eastAsia="仿宋"/>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二、事业收入：</w:t>
      </w:r>
      <w:r>
        <w:rPr>
          <w:rFonts w:hint="eastAsia" w:ascii="仿宋" w:hAnsi="仿宋" w:eastAsia="仿宋"/>
          <w:color w:val="000000" w:themeColor="text1"/>
          <w:sz w:val="32"/>
          <w:szCs w:val="32"/>
          <w14:textFill>
            <w14:solidFill>
              <w14:schemeClr w14:val="tx1"/>
            </w14:solidFill>
          </w14:textFill>
        </w:rPr>
        <w:t>指事业单位开展专业业务活动及辅助活动所取得的收入。</w:t>
      </w:r>
    </w:p>
    <w:p w14:paraId="4C9A79D7">
      <w:pPr>
        <w:ind w:firstLine="640" w:firstLineChars="200"/>
        <w:rPr>
          <w:rFonts w:ascii="仿宋" w:hAnsi="仿宋" w:eastAsia="仿宋"/>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三、事业单位经营收入：</w:t>
      </w:r>
      <w:r>
        <w:rPr>
          <w:rFonts w:hint="eastAsia" w:ascii="仿宋" w:hAnsi="仿宋" w:eastAsia="仿宋"/>
          <w:color w:val="000000" w:themeColor="text1"/>
          <w:sz w:val="32"/>
          <w:szCs w:val="32"/>
          <w14:textFill>
            <w14:solidFill>
              <w14:schemeClr w14:val="tx1"/>
            </w14:solidFill>
          </w14:textFill>
        </w:rPr>
        <w:t>指事业单位在专业业务活动及其辅助活动之外开展非独立核算经营活动取得的收入。</w:t>
      </w:r>
    </w:p>
    <w:p w14:paraId="0BB705CE">
      <w:pPr>
        <w:spacing w:line="588"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四</w:t>
      </w:r>
      <w:r>
        <w:rPr>
          <w:rFonts w:ascii="黑体" w:hAnsi="黑体" w:eastAsia="黑体"/>
          <w:color w:val="000000" w:themeColor="text1"/>
          <w:sz w:val="32"/>
          <w:szCs w:val="32"/>
          <w14:textFill>
            <w14:solidFill>
              <w14:schemeClr w14:val="tx1"/>
            </w14:solidFill>
          </w14:textFill>
        </w:rPr>
        <w:t>、</w:t>
      </w:r>
      <w:r>
        <w:rPr>
          <w:rFonts w:hint="eastAsia" w:ascii="黑体" w:hAnsi="黑体" w:eastAsia="黑体"/>
          <w:color w:val="000000" w:themeColor="text1"/>
          <w:sz w:val="32"/>
          <w:szCs w:val="32"/>
          <w14:textFill>
            <w14:solidFill>
              <w14:schemeClr w14:val="tx1"/>
            </w14:solidFill>
          </w14:textFill>
        </w:rPr>
        <w:t>机关运行经费：</w:t>
      </w:r>
      <w:r>
        <w:rPr>
          <w:rFonts w:hint="eastAsia" w:ascii="仿宋" w:hAnsi="仿宋" w:eastAsia="仿宋"/>
          <w:color w:val="000000" w:themeColor="text1"/>
          <w:sz w:val="32"/>
          <w:szCs w:val="32"/>
          <w14:textFill>
            <w14:solidFill>
              <w14:schemeClr w14:val="tx1"/>
            </w14:solidFill>
          </w14:textFill>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4B88F2BC">
      <w:pPr>
        <w:ind w:firstLine="640" w:firstLineChars="200"/>
        <w:rPr>
          <w:rFonts w:ascii="仿宋" w:hAnsi="仿宋" w:eastAsia="仿宋"/>
          <w:color w:val="000000" w:themeColor="text1"/>
          <w:sz w:val="32"/>
          <w:szCs w:val="32"/>
          <w14:textFill>
            <w14:solidFill>
              <w14:schemeClr w14:val="tx1"/>
            </w14:solidFill>
          </w14:textFill>
        </w:rPr>
      </w:pPr>
      <w:r>
        <w:rPr>
          <w:rFonts w:ascii="黑体" w:hAnsi="黑体" w:eastAsia="黑体"/>
          <w:color w:val="000000" w:themeColor="text1"/>
          <w:sz w:val="32"/>
          <w:szCs w:val="32"/>
          <w14:textFill>
            <w14:solidFill>
              <w14:schemeClr w14:val="tx1"/>
            </w14:solidFill>
          </w14:textFill>
        </w:rPr>
        <w:t>五</w:t>
      </w:r>
      <w:r>
        <w:rPr>
          <w:rFonts w:hint="eastAsia" w:ascii="黑体" w:hAnsi="黑体" w:eastAsia="黑体"/>
          <w:color w:val="000000" w:themeColor="text1"/>
          <w:sz w:val="32"/>
          <w:szCs w:val="32"/>
          <w14:textFill>
            <w14:solidFill>
              <w14:schemeClr w14:val="tx1"/>
            </w14:solidFill>
          </w14:textFill>
        </w:rPr>
        <w:t>、其他收入：</w:t>
      </w:r>
      <w:r>
        <w:rPr>
          <w:rFonts w:hint="eastAsia" w:ascii="仿宋" w:hAnsi="仿宋" w:eastAsia="仿宋"/>
          <w:color w:val="000000" w:themeColor="text1"/>
          <w:sz w:val="32"/>
          <w:szCs w:val="32"/>
          <w14:textFill>
            <w14:solidFill>
              <w14:schemeClr w14:val="tx1"/>
            </w14:solidFill>
          </w14:textFill>
        </w:rPr>
        <w:t>指除上述“一般公共预算拨款收入”、“事业收入”、“事业单位经营收入”等以外的收入。主要是按规定动用的售房收入、存款利息收入等。</w:t>
      </w:r>
    </w:p>
    <w:p w14:paraId="6EC54F73">
      <w:pPr>
        <w:ind w:firstLine="640" w:firstLineChars="200"/>
        <w:rPr>
          <w:rFonts w:ascii="仿宋" w:hAnsi="仿宋" w:eastAsia="仿宋"/>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六、上年结转：</w:t>
      </w:r>
      <w:r>
        <w:rPr>
          <w:rFonts w:hint="eastAsia" w:ascii="仿宋" w:hAnsi="仿宋" w:eastAsia="仿宋"/>
          <w:color w:val="000000" w:themeColor="text1"/>
          <w:sz w:val="32"/>
          <w:szCs w:val="32"/>
          <w14:textFill>
            <w14:solidFill>
              <w14:schemeClr w14:val="tx1"/>
            </w14:solidFill>
          </w14:textFill>
        </w:rPr>
        <w:t>指以前年度安排、结转到本年仍按原规定用途继续使用的资金。</w:t>
      </w:r>
    </w:p>
    <w:p w14:paraId="7282AF42">
      <w:pPr>
        <w:spacing w:line="588"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七</w:t>
      </w:r>
      <w:r>
        <w:rPr>
          <w:rFonts w:ascii="黑体" w:hAnsi="黑体" w:eastAsia="黑体"/>
          <w:color w:val="000000" w:themeColor="text1"/>
          <w:sz w:val="32"/>
          <w:szCs w:val="32"/>
          <w14:textFill>
            <w14:solidFill>
              <w14:schemeClr w14:val="tx1"/>
            </w14:solidFill>
          </w14:textFill>
        </w:rPr>
        <w:t>、</w:t>
      </w:r>
      <w:r>
        <w:rPr>
          <w:rFonts w:hint="eastAsia" w:ascii="黑体" w:hAnsi="黑体" w:eastAsia="黑体"/>
          <w:color w:val="000000" w:themeColor="text1"/>
          <w:sz w:val="32"/>
          <w:szCs w:val="32"/>
          <w14:textFill>
            <w14:solidFill>
              <w14:schemeClr w14:val="tx1"/>
            </w14:solidFill>
          </w14:textFill>
        </w:rPr>
        <w:t>重点项目：</w:t>
      </w:r>
      <w:r>
        <w:rPr>
          <w:rFonts w:hint="eastAsia" w:ascii="仿宋" w:hAnsi="仿宋" w:eastAsia="仿宋"/>
          <w:color w:val="000000" w:themeColor="text1"/>
          <w:sz w:val="32"/>
          <w:szCs w:val="32"/>
          <w14:textFill>
            <w14:solidFill>
              <w14:schemeClr w14:val="tx1"/>
            </w14:solidFill>
          </w14:textFill>
        </w:rPr>
        <w:t>重点项目：贯彻落实自治区党委、政府重大方针政策和决策部署的项目，覆盖面广、影响力大、社会关注度高、实施期长的项目，与本部门职能职责密切相关的项目或预算安排支出相对较大的项目（具体重点项目由各部门结合实际自行确定）。</w:t>
      </w:r>
    </w:p>
    <w:p w14:paraId="2A99C874">
      <w:pPr>
        <w:autoSpaceDE w:val="0"/>
        <w:autoSpaceDN w:val="0"/>
        <w:adjustRightInd w:val="0"/>
        <w:ind w:firstLine="640" w:firstLineChars="200"/>
        <w:jc w:val="left"/>
        <w:rPr>
          <w:rFonts w:ascii="仿宋_GB2312" w:eastAsia="仿宋_GB2312" w:cs="仿宋_GB2312" w:hAnsiTheme="minorHAnsi"/>
          <w:color w:val="000000" w:themeColor="text1"/>
          <w:kern w:val="0"/>
          <w:sz w:val="32"/>
          <w:szCs w:val="32"/>
          <w14:textFill>
            <w14:solidFill>
              <w14:schemeClr w14:val="tx1"/>
            </w14:solidFill>
          </w14:textFill>
        </w:rPr>
      </w:pPr>
      <w:r>
        <w:rPr>
          <w:rFonts w:ascii="黑体" w:hAnsi="黑体" w:eastAsia="黑体"/>
          <w:color w:val="000000" w:themeColor="text1"/>
          <w:sz w:val="32"/>
          <w:szCs w:val="32"/>
          <w14:textFill>
            <w14:solidFill>
              <w14:schemeClr w14:val="tx1"/>
            </w14:solidFill>
          </w14:textFill>
        </w:rPr>
        <w:t>八、基本</w:t>
      </w:r>
      <w:r>
        <w:rPr>
          <w:rFonts w:hint="eastAsia" w:ascii="黑体" w:hAnsi="黑体" w:eastAsia="黑体"/>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14:textFill>
            <w14:solidFill>
              <w14:schemeClr w14:val="tx1"/>
            </w14:solidFill>
          </w14:textFill>
        </w:rPr>
        <w:t>指为保障机构正常运转、完成日常工作任务而发生的人员支出和公用支出。</w:t>
      </w:r>
    </w:p>
    <w:p w14:paraId="769A17D1">
      <w:pPr>
        <w:autoSpaceDE w:val="0"/>
        <w:autoSpaceDN w:val="0"/>
        <w:adjustRightInd w:val="0"/>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九</w:t>
      </w:r>
      <w:r>
        <w:rPr>
          <w:rFonts w:ascii="黑体" w:hAnsi="黑体" w:eastAsia="黑体"/>
          <w:color w:val="000000" w:themeColor="text1"/>
          <w:sz w:val="32"/>
          <w:szCs w:val="32"/>
          <w14:textFill>
            <w14:solidFill>
              <w14:schemeClr w14:val="tx1"/>
            </w14:solidFill>
          </w14:textFill>
        </w:rPr>
        <w:t>、</w:t>
      </w:r>
      <w:r>
        <w:rPr>
          <w:rFonts w:hint="eastAsia" w:ascii="黑体" w:hAnsi="黑体" w:eastAsia="黑体"/>
          <w:color w:val="000000" w:themeColor="text1"/>
          <w:sz w:val="32"/>
          <w:szCs w:val="32"/>
          <w14:textFill>
            <w14:solidFill>
              <w14:schemeClr w14:val="tx1"/>
            </w14:solidFill>
          </w14:textFill>
        </w:rPr>
        <w:t>项目支出：</w:t>
      </w:r>
      <w:r>
        <w:rPr>
          <w:rFonts w:hint="eastAsia" w:ascii="仿宋" w:hAnsi="仿宋" w:eastAsia="仿宋"/>
          <w:color w:val="000000" w:themeColor="text1"/>
          <w:sz w:val="32"/>
          <w:szCs w:val="32"/>
          <w14:textFill>
            <w14:solidFill>
              <w14:schemeClr w14:val="tx1"/>
            </w14:solidFill>
          </w14:textFill>
        </w:rPr>
        <w:t>指在基本支出之外为完成特定行政任务或事业发展目标所发生的支出。</w:t>
      </w:r>
    </w:p>
    <w:p w14:paraId="6E37C468">
      <w:pPr>
        <w:autoSpaceDE w:val="0"/>
        <w:autoSpaceDN w:val="0"/>
        <w:adjustRightInd w:val="0"/>
        <w:ind w:firstLine="640" w:firstLineChars="200"/>
        <w:jc w:val="left"/>
        <w:rPr>
          <w:rFonts w:hint="default" w:ascii="Times New Roman" w:hAnsi="Times New Roman" w:eastAsia="仿宋" w:cs="Times New Roman"/>
          <w:color w:val="000000" w:themeColor="text1"/>
          <w:sz w:val="32"/>
          <w:szCs w:val="32"/>
          <w:highlight w:val="yellow"/>
          <w:lang w:val="en-US" w:eastAsia="zh-CN"/>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十</w:t>
      </w:r>
      <w:r>
        <w:rPr>
          <w:rFonts w:ascii="黑体" w:hAnsi="黑体" w:eastAsia="黑体"/>
          <w:color w:val="000000" w:themeColor="text1"/>
          <w:sz w:val="32"/>
          <w:szCs w:val="32"/>
          <w14:textFill>
            <w14:solidFill>
              <w14:schemeClr w14:val="tx1"/>
            </w14:solidFill>
          </w14:textFill>
        </w:rPr>
        <w:t>、</w:t>
      </w:r>
      <w:r>
        <w:rPr>
          <w:rFonts w:hint="eastAsia" w:ascii="黑体" w:hAnsi="黑体" w:eastAsia="黑体"/>
          <w:color w:val="000000" w:themeColor="text1"/>
          <w:sz w:val="32"/>
          <w:szCs w:val="32"/>
          <w14:textFill>
            <w14:solidFill>
              <w14:schemeClr w14:val="tx1"/>
            </w14:solidFill>
          </w14:textFill>
        </w:rPr>
        <w:t>事业单位经营支出：</w:t>
      </w:r>
      <w:r>
        <w:rPr>
          <w:rFonts w:hint="eastAsia" w:ascii="仿宋" w:hAnsi="仿宋" w:eastAsia="仿宋"/>
          <w:color w:val="000000" w:themeColor="text1"/>
          <w:sz w:val="32"/>
          <w:szCs w:val="32"/>
          <w14:textFill>
            <w14:solidFill>
              <w14:schemeClr w14:val="tx1"/>
            </w14:solidFill>
          </w14:textFill>
        </w:rPr>
        <w:t>指事业单位在专业业务活动及其辅助活动之外开展非独立核算经营活动发生的支出。</w:t>
      </w:r>
    </w:p>
    <w:sectPr>
      <w:headerReference r:id="rId3" w:type="default"/>
      <w:footerReference r:id="rId4" w:type="default"/>
      <w:footerReference r:id="rId5" w:type="even"/>
      <w:pgSz w:w="11906" w:h="16838"/>
      <w:pgMar w:top="2098" w:right="1800"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rbel">
    <w:panose1 w:val="020B0503020204020204"/>
    <w:charset w:val="00"/>
    <w:family w:val="auto"/>
    <w:pitch w:val="default"/>
    <w:sig w:usb0="A00002EF" w:usb1="4000A44B"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E14C4">
    <w:pPr>
      <w:pStyle w:val="5"/>
      <w:framePr w:wrap="around" w:vAnchor="text" w:hAnchor="margin" w:xAlign="center" w:y="1"/>
      <w:rPr>
        <w:rStyle w:val="10"/>
        <w:sz w:val="24"/>
        <w:szCs w:val="24"/>
      </w:rPr>
    </w:pPr>
    <w:r>
      <w:rPr>
        <w:rStyle w:val="10"/>
        <w:sz w:val="24"/>
        <w:szCs w:val="24"/>
      </w:rPr>
      <w:fldChar w:fldCharType="begin"/>
    </w:r>
    <w:r>
      <w:rPr>
        <w:rStyle w:val="10"/>
        <w:sz w:val="24"/>
        <w:szCs w:val="24"/>
      </w:rPr>
      <w:instrText xml:space="preserve">PAGE  </w:instrText>
    </w:r>
    <w:r>
      <w:rPr>
        <w:rStyle w:val="10"/>
        <w:sz w:val="24"/>
        <w:szCs w:val="24"/>
      </w:rPr>
      <w:fldChar w:fldCharType="separate"/>
    </w:r>
    <w:r>
      <w:rPr>
        <w:rStyle w:val="10"/>
        <w:sz w:val="24"/>
        <w:szCs w:val="24"/>
      </w:rPr>
      <w:t>8</w:t>
    </w:r>
    <w:r>
      <w:rPr>
        <w:rStyle w:val="10"/>
        <w:sz w:val="24"/>
        <w:szCs w:val="24"/>
      </w:rPr>
      <w:fldChar w:fldCharType="end"/>
    </w:r>
  </w:p>
  <w:p w14:paraId="3C9C5A02">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CDDB3">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14:paraId="2E7BB083">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0573A">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6115F9"/>
    <w:multiLevelType w:val="singleLevel"/>
    <w:tmpl w:val="006115F9"/>
    <w:lvl w:ilvl="0" w:tentative="0">
      <w:start w:val="1"/>
      <w:numFmt w:val="chineseCounting"/>
      <w:suff w:val="nothing"/>
      <w:lvlText w:val="（%1）"/>
      <w:lvlJc w:val="left"/>
      <w:rPr>
        <w:rFonts w:hint="eastAsia"/>
      </w:rPr>
    </w:lvl>
  </w:abstractNum>
  <w:abstractNum w:abstractNumId="1">
    <w:nsid w:val="38004B77"/>
    <w:multiLevelType w:val="singleLevel"/>
    <w:tmpl w:val="38004B77"/>
    <w:lvl w:ilvl="0" w:tentative="0">
      <w:start w:val="1"/>
      <w:numFmt w:val="chineseCounting"/>
      <w:suff w:val="nothing"/>
      <w:lvlText w:val="（%1）"/>
      <w:lvlJc w:val="left"/>
      <w:rPr>
        <w:rFonts w:hint="eastAsia"/>
      </w:rPr>
    </w:lvl>
  </w:abstractNum>
  <w:abstractNum w:abstractNumId="2">
    <w:nsid w:val="55E8CCCA"/>
    <w:multiLevelType w:val="singleLevel"/>
    <w:tmpl w:val="55E8CCCA"/>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3N2RlMmViZTFkZjU3ZTgyMmYzMGFmMmQ2NWYzMzcifQ=="/>
  </w:docVars>
  <w:rsids>
    <w:rsidRoot w:val="70064251"/>
    <w:rsid w:val="00133528"/>
    <w:rsid w:val="001A64C4"/>
    <w:rsid w:val="0043675E"/>
    <w:rsid w:val="004E616D"/>
    <w:rsid w:val="005C6ADC"/>
    <w:rsid w:val="009224FE"/>
    <w:rsid w:val="00A122E1"/>
    <w:rsid w:val="00AF7589"/>
    <w:rsid w:val="00CA69FD"/>
    <w:rsid w:val="00CA78BF"/>
    <w:rsid w:val="00CE2BDD"/>
    <w:rsid w:val="00DA7EDC"/>
    <w:rsid w:val="00F42D11"/>
    <w:rsid w:val="00F705B3"/>
    <w:rsid w:val="010267A4"/>
    <w:rsid w:val="010308AF"/>
    <w:rsid w:val="01116F23"/>
    <w:rsid w:val="01270340"/>
    <w:rsid w:val="012D0479"/>
    <w:rsid w:val="012D2227"/>
    <w:rsid w:val="01395070"/>
    <w:rsid w:val="015D0D5E"/>
    <w:rsid w:val="016F563F"/>
    <w:rsid w:val="0213141D"/>
    <w:rsid w:val="021653B1"/>
    <w:rsid w:val="021E208A"/>
    <w:rsid w:val="02506984"/>
    <w:rsid w:val="02581525"/>
    <w:rsid w:val="02750329"/>
    <w:rsid w:val="027619AC"/>
    <w:rsid w:val="02881E0B"/>
    <w:rsid w:val="028B6FF5"/>
    <w:rsid w:val="028E6791"/>
    <w:rsid w:val="02AE1145"/>
    <w:rsid w:val="02B01361"/>
    <w:rsid w:val="02B250DA"/>
    <w:rsid w:val="02C1356F"/>
    <w:rsid w:val="02D84414"/>
    <w:rsid w:val="02EB68EF"/>
    <w:rsid w:val="02EC7E2F"/>
    <w:rsid w:val="0317318F"/>
    <w:rsid w:val="031C07A5"/>
    <w:rsid w:val="03230D9A"/>
    <w:rsid w:val="032F672A"/>
    <w:rsid w:val="033E696D"/>
    <w:rsid w:val="03541B9B"/>
    <w:rsid w:val="03655CA8"/>
    <w:rsid w:val="0371289F"/>
    <w:rsid w:val="03AD58A1"/>
    <w:rsid w:val="04566EBF"/>
    <w:rsid w:val="0486237A"/>
    <w:rsid w:val="04994648"/>
    <w:rsid w:val="04AA38DD"/>
    <w:rsid w:val="04C82992"/>
    <w:rsid w:val="04D53301"/>
    <w:rsid w:val="05003798"/>
    <w:rsid w:val="050D4849"/>
    <w:rsid w:val="05137986"/>
    <w:rsid w:val="05145BD8"/>
    <w:rsid w:val="056D178C"/>
    <w:rsid w:val="05856AD5"/>
    <w:rsid w:val="05972365"/>
    <w:rsid w:val="05D60AAB"/>
    <w:rsid w:val="06222576"/>
    <w:rsid w:val="06277B8D"/>
    <w:rsid w:val="0657752A"/>
    <w:rsid w:val="06856661"/>
    <w:rsid w:val="06AE7966"/>
    <w:rsid w:val="07091040"/>
    <w:rsid w:val="07122B9D"/>
    <w:rsid w:val="072365A6"/>
    <w:rsid w:val="0730481F"/>
    <w:rsid w:val="0748600C"/>
    <w:rsid w:val="074958E1"/>
    <w:rsid w:val="07846919"/>
    <w:rsid w:val="07866B35"/>
    <w:rsid w:val="07BC60B3"/>
    <w:rsid w:val="080812F8"/>
    <w:rsid w:val="081163FE"/>
    <w:rsid w:val="08275C22"/>
    <w:rsid w:val="082A3964"/>
    <w:rsid w:val="083D5445"/>
    <w:rsid w:val="08514A4D"/>
    <w:rsid w:val="08966904"/>
    <w:rsid w:val="08A54756"/>
    <w:rsid w:val="08AC25CB"/>
    <w:rsid w:val="08AF79C5"/>
    <w:rsid w:val="08D35DAA"/>
    <w:rsid w:val="08E25FED"/>
    <w:rsid w:val="09000221"/>
    <w:rsid w:val="090146C5"/>
    <w:rsid w:val="09047D11"/>
    <w:rsid w:val="09061CDB"/>
    <w:rsid w:val="090F634D"/>
    <w:rsid w:val="09615163"/>
    <w:rsid w:val="097B2D18"/>
    <w:rsid w:val="09896468"/>
    <w:rsid w:val="0992531D"/>
    <w:rsid w:val="09E33DCA"/>
    <w:rsid w:val="09E638BB"/>
    <w:rsid w:val="0A0A0DD2"/>
    <w:rsid w:val="0A4A5A3F"/>
    <w:rsid w:val="0A4D393D"/>
    <w:rsid w:val="0A9B34DE"/>
    <w:rsid w:val="0A9C0B3B"/>
    <w:rsid w:val="0AC01458"/>
    <w:rsid w:val="0AC27E84"/>
    <w:rsid w:val="0AD35846"/>
    <w:rsid w:val="0AE55920"/>
    <w:rsid w:val="0AE75B3C"/>
    <w:rsid w:val="0B024724"/>
    <w:rsid w:val="0B0C7351"/>
    <w:rsid w:val="0B135418"/>
    <w:rsid w:val="0B1526A9"/>
    <w:rsid w:val="0B2654C4"/>
    <w:rsid w:val="0B391E94"/>
    <w:rsid w:val="0B3B1B12"/>
    <w:rsid w:val="0B6147F1"/>
    <w:rsid w:val="0B6344A9"/>
    <w:rsid w:val="0B6B051B"/>
    <w:rsid w:val="0B901D30"/>
    <w:rsid w:val="0BB01BC7"/>
    <w:rsid w:val="0BB04180"/>
    <w:rsid w:val="0BE502CE"/>
    <w:rsid w:val="0C1C3423"/>
    <w:rsid w:val="0C2A063B"/>
    <w:rsid w:val="0C477A78"/>
    <w:rsid w:val="0C5B6D94"/>
    <w:rsid w:val="0C5C7E64"/>
    <w:rsid w:val="0C721436"/>
    <w:rsid w:val="0C7B653C"/>
    <w:rsid w:val="0C871385"/>
    <w:rsid w:val="0C994C14"/>
    <w:rsid w:val="0CAA6E21"/>
    <w:rsid w:val="0CBB2DDD"/>
    <w:rsid w:val="0D071561"/>
    <w:rsid w:val="0D237604"/>
    <w:rsid w:val="0D5A0848"/>
    <w:rsid w:val="0D901C7B"/>
    <w:rsid w:val="0D9378B6"/>
    <w:rsid w:val="0D9B33BD"/>
    <w:rsid w:val="0DB461AA"/>
    <w:rsid w:val="0DDF2AFB"/>
    <w:rsid w:val="0DE279E8"/>
    <w:rsid w:val="0DF227A4"/>
    <w:rsid w:val="0E042561"/>
    <w:rsid w:val="0E0D1416"/>
    <w:rsid w:val="0E2350DD"/>
    <w:rsid w:val="0E461FD9"/>
    <w:rsid w:val="0E4868DE"/>
    <w:rsid w:val="0E5878E5"/>
    <w:rsid w:val="0E6179B4"/>
    <w:rsid w:val="0E707BF7"/>
    <w:rsid w:val="0E884F40"/>
    <w:rsid w:val="0E8D69FB"/>
    <w:rsid w:val="0EA16A06"/>
    <w:rsid w:val="0EA224A6"/>
    <w:rsid w:val="0ECA7307"/>
    <w:rsid w:val="0ED10695"/>
    <w:rsid w:val="0EE303C9"/>
    <w:rsid w:val="0EEA79A9"/>
    <w:rsid w:val="0F4F1D2A"/>
    <w:rsid w:val="0F5B471D"/>
    <w:rsid w:val="0F6634D4"/>
    <w:rsid w:val="0F696B20"/>
    <w:rsid w:val="0FBE3E9A"/>
    <w:rsid w:val="0FDE750E"/>
    <w:rsid w:val="0FE60171"/>
    <w:rsid w:val="0FFE370C"/>
    <w:rsid w:val="105462CD"/>
    <w:rsid w:val="1066305F"/>
    <w:rsid w:val="10784DD8"/>
    <w:rsid w:val="11104892"/>
    <w:rsid w:val="11160F29"/>
    <w:rsid w:val="111B02EE"/>
    <w:rsid w:val="111E393A"/>
    <w:rsid w:val="112C24FB"/>
    <w:rsid w:val="112C6057"/>
    <w:rsid w:val="11366ED6"/>
    <w:rsid w:val="11454D53"/>
    <w:rsid w:val="114E2471"/>
    <w:rsid w:val="116F4196"/>
    <w:rsid w:val="11733C86"/>
    <w:rsid w:val="11823C14"/>
    <w:rsid w:val="118360E9"/>
    <w:rsid w:val="11A025A1"/>
    <w:rsid w:val="11BA1E1D"/>
    <w:rsid w:val="11D00824"/>
    <w:rsid w:val="11D37458"/>
    <w:rsid w:val="11FB430A"/>
    <w:rsid w:val="12154D3D"/>
    <w:rsid w:val="121D1E44"/>
    <w:rsid w:val="12282CC2"/>
    <w:rsid w:val="127C1D9C"/>
    <w:rsid w:val="12837EF9"/>
    <w:rsid w:val="12883761"/>
    <w:rsid w:val="12922832"/>
    <w:rsid w:val="12A72E93"/>
    <w:rsid w:val="12AA2410"/>
    <w:rsid w:val="12BE3627"/>
    <w:rsid w:val="12C7072D"/>
    <w:rsid w:val="12E3308D"/>
    <w:rsid w:val="13053A34"/>
    <w:rsid w:val="130B0801"/>
    <w:rsid w:val="133D279D"/>
    <w:rsid w:val="13476C04"/>
    <w:rsid w:val="135429CE"/>
    <w:rsid w:val="135A6E27"/>
    <w:rsid w:val="138F0B1F"/>
    <w:rsid w:val="13AA5959"/>
    <w:rsid w:val="13CC58CF"/>
    <w:rsid w:val="13CE5AEB"/>
    <w:rsid w:val="13D1738A"/>
    <w:rsid w:val="13F866C4"/>
    <w:rsid w:val="14261483"/>
    <w:rsid w:val="143E4A1F"/>
    <w:rsid w:val="143F2545"/>
    <w:rsid w:val="14432035"/>
    <w:rsid w:val="14534E5C"/>
    <w:rsid w:val="14806906"/>
    <w:rsid w:val="148461AA"/>
    <w:rsid w:val="14E37374"/>
    <w:rsid w:val="14F25809"/>
    <w:rsid w:val="14F97080"/>
    <w:rsid w:val="15267261"/>
    <w:rsid w:val="152935CA"/>
    <w:rsid w:val="152B4878"/>
    <w:rsid w:val="15302C7F"/>
    <w:rsid w:val="156F5F06"/>
    <w:rsid w:val="15724254"/>
    <w:rsid w:val="15821BD8"/>
    <w:rsid w:val="15916DD0"/>
    <w:rsid w:val="15931FFF"/>
    <w:rsid w:val="15973CBB"/>
    <w:rsid w:val="15BB3E4D"/>
    <w:rsid w:val="15E05662"/>
    <w:rsid w:val="163A1216"/>
    <w:rsid w:val="16551BAC"/>
    <w:rsid w:val="166167A3"/>
    <w:rsid w:val="16777D74"/>
    <w:rsid w:val="167E1BBA"/>
    <w:rsid w:val="1683496B"/>
    <w:rsid w:val="168C1346"/>
    <w:rsid w:val="168D7598"/>
    <w:rsid w:val="16BC7E7D"/>
    <w:rsid w:val="16E11692"/>
    <w:rsid w:val="1703785A"/>
    <w:rsid w:val="1723614E"/>
    <w:rsid w:val="17272305"/>
    <w:rsid w:val="174A36DB"/>
    <w:rsid w:val="175D340E"/>
    <w:rsid w:val="178259C1"/>
    <w:rsid w:val="178D35C8"/>
    <w:rsid w:val="17910419"/>
    <w:rsid w:val="17C0574B"/>
    <w:rsid w:val="17D905BB"/>
    <w:rsid w:val="18075128"/>
    <w:rsid w:val="180E4708"/>
    <w:rsid w:val="181B5077"/>
    <w:rsid w:val="185D2F9A"/>
    <w:rsid w:val="18700F1F"/>
    <w:rsid w:val="18746A55"/>
    <w:rsid w:val="18846779"/>
    <w:rsid w:val="188744BB"/>
    <w:rsid w:val="18963F61"/>
    <w:rsid w:val="18CB25F9"/>
    <w:rsid w:val="18CE3E98"/>
    <w:rsid w:val="18E23059"/>
    <w:rsid w:val="18E63E17"/>
    <w:rsid w:val="18F27B86"/>
    <w:rsid w:val="191A0E8B"/>
    <w:rsid w:val="192D0BBE"/>
    <w:rsid w:val="194E1FA1"/>
    <w:rsid w:val="19573E8D"/>
    <w:rsid w:val="19720CC7"/>
    <w:rsid w:val="198729C4"/>
    <w:rsid w:val="198962C4"/>
    <w:rsid w:val="19BC1F42"/>
    <w:rsid w:val="19CE12D1"/>
    <w:rsid w:val="19EE2A43"/>
    <w:rsid w:val="19FA4DE0"/>
    <w:rsid w:val="1A1E49AB"/>
    <w:rsid w:val="1A206975"/>
    <w:rsid w:val="1A3E181D"/>
    <w:rsid w:val="1A404921"/>
    <w:rsid w:val="1A4B1C44"/>
    <w:rsid w:val="1A50725A"/>
    <w:rsid w:val="1A577090"/>
    <w:rsid w:val="1A773C92"/>
    <w:rsid w:val="1A8011C2"/>
    <w:rsid w:val="1AA2382E"/>
    <w:rsid w:val="1AA90718"/>
    <w:rsid w:val="1ADB108E"/>
    <w:rsid w:val="1AE02DD8"/>
    <w:rsid w:val="1AE4406F"/>
    <w:rsid w:val="1B267FBB"/>
    <w:rsid w:val="1B3A75C2"/>
    <w:rsid w:val="1B3E3557"/>
    <w:rsid w:val="1B423169"/>
    <w:rsid w:val="1B4D72F6"/>
    <w:rsid w:val="1B634D6B"/>
    <w:rsid w:val="1B721452"/>
    <w:rsid w:val="1B770817"/>
    <w:rsid w:val="1B7927E1"/>
    <w:rsid w:val="1B8371BB"/>
    <w:rsid w:val="1B8F3DB2"/>
    <w:rsid w:val="1B945D87"/>
    <w:rsid w:val="1BA86C22"/>
    <w:rsid w:val="1BAA4748"/>
    <w:rsid w:val="1BB9498B"/>
    <w:rsid w:val="1BBE546F"/>
    <w:rsid w:val="1BCF0653"/>
    <w:rsid w:val="1BDC68CC"/>
    <w:rsid w:val="1BE57636"/>
    <w:rsid w:val="1BF400B9"/>
    <w:rsid w:val="1C094196"/>
    <w:rsid w:val="1C0D29D9"/>
    <w:rsid w:val="1C200B6F"/>
    <w:rsid w:val="1C224C26"/>
    <w:rsid w:val="1C252021"/>
    <w:rsid w:val="1C362480"/>
    <w:rsid w:val="1C6E7E6B"/>
    <w:rsid w:val="1C8A6328"/>
    <w:rsid w:val="1CAC629E"/>
    <w:rsid w:val="1CCE4466"/>
    <w:rsid w:val="1CD6156D"/>
    <w:rsid w:val="1CD81789"/>
    <w:rsid w:val="1CE343B6"/>
    <w:rsid w:val="1CE43C8A"/>
    <w:rsid w:val="1CFA525B"/>
    <w:rsid w:val="1D083E1C"/>
    <w:rsid w:val="1D214EDE"/>
    <w:rsid w:val="1D547061"/>
    <w:rsid w:val="1DAB2D62"/>
    <w:rsid w:val="1DB4365C"/>
    <w:rsid w:val="1DBF7280"/>
    <w:rsid w:val="1DE101C9"/>
    <w:rsid w:val="1DF06353"/>
    <w:rsid w:val="1DFA43B6"/>
    <w:rsid w:val="1DFD14A7"/>
    <w:rsid w:val="1E0839A8"/>
    <w:rsid w:val="1E0A7A78"/>
    <w:rsid w:val="1E2A5FF9"/>
    <w:rsid w:val="1E3D5D47"/>
    <w:rsid w:val="1E7F56EA"/>
    <w:rsid w:val="1E8C45D9"/>
    <w:rsid w:val="1EA57699"/>
    <w:rsid w:val="1EAE09F3"/>
    <w:rsid w:val="1EAF2075"/>
    <w:rsid w:val="1EB83EEE"/>
    <w:rsid w:val="1ED16490"/>
    <w:rsid w:val="1F14269F"/>
    <w:rsid w:val="1F2760B0"/>
    <w:rsid w:val="1F492760"/>
    <w:rsid w:val="1F505606"/>
    <w:rsid w:val="1F555F8F"/>
    <w:rsid w:val="1F5E41C7"/>
    <w:rsid w:val="1F707A2D"/>
    <w:rsid w:val="1F7A6B27"/>
    <w:rsid w:val="1F813013"/>
    <w:rsid w:val="1FA02E45"/>
    <w:rsid w:val="1FA745A7"/>
    <w:rsid w:val="1FB43DE7"/>
    <w:rsid w:val="1FC658C9"/>
    <w:rsid w:val="1FD9439E"/>
    <w:rsid w:val="1FE50445"/>
    <w:rsid w:val="1FF16DE9"/>
    <w:rsid w:val="1FF468DA"/>
    <w:rsid w:val="1FFB7C68"/>
    <w:rsid w:val="1FFC578E"/>
    <w:rsid w:val="200D799B"/>
    <w:rsid w:val="202A22FB"/>
    <w:rsid w:val="2032594A"/>
    <w:rsid w:val="204C04C4"/>
    <w:rsid w:val="207277FE"/>
    <w:rsid w:val="207B66B3"/>
    <w:rsid w:val="208C266E"/>
    <w:rsid w:val="20D61B3B"/>
    <w:rsid w:val="20D87769"/>
    <w:rsid w:val="20E52B9F"/>
    <w:rsid w:val="20F46465"/>
    <w:rsid w:val="20FC7125"/>
    <w:rsid w:val="20FF564F"/>
    <w:rsid w:val="212338EC"/>
    <w:rsid w:val="212B632B"/>
    <w:rsid w:val="21354AB4"/>
    <w:rsid w:val="21501B14"/>
    <w:rsid w:val="21516A0D"/>
    <w:rsid w:val="21535882"/>
    <w:rsid w:val="215D7884"/>
    <w:rsid w:val="21717AB6"/>
    <w:rsid w:val="21751354"/>
    <w:rsid w:val="218354E1"/>
    <w:rsid w:val="21F52495"/>
    <w:rsid w:val="21F7445F"/>
    <w:rsid w:val="225219C9"/>
    <w:rsid w:val="225C42C2"/>
    <w:rsid w:val="225E628C"/>
    <w:rsid w:val="22623FCE"/>
    <w:rsid w:val="226C09A9"/>
    <w:rsid w:val="22873A35"/>
    <w:rsid w:val="229B128E"/>
    <w:rsid w:val="22D24584"/>
    <w:rsid w:val="22EE13BE"/>
    <w:rsid w:val="22F2458D"/>
    <w:rsid w:val="23047A11"/>
    <w:rsid w:val="234B7F5C"/>
    <w:rsid w:val="23671171"/>
    <w:rsid w:val="236773C3"/>
    <w:rsid w:val="23A777BF"/>
    <w:rsid w:val="23B24AE2"/>
    <w:rsid w:val="23C465C3"/>
    <w:rsid w:val="23D22A8E"/>
    <w:rsid w:val="23DE58D7"/>
    <w:rsid w:val="23EA427B"/>
    <w:rsid w:val="24305A06"/>
    <w:rsid w:val="243357D2"/>
    <w:rsid w:val="24374FE7"/>
    <w:rsid w:val="24443260"/>
    <w:rsid w:val="2455546D"/>
    <w:rsid w:val="245A2A83"/>
    <w:rsid w:val="24833D88"/>
    <w:rsid w:val="24B863A8"/>
    <w:rsid w:val="24BC54EC"/>
    <w:rsid w:val="250363DA"/>
    <w:rsid w:val="2508720F"/>
    <w:rsid w:val="250C48B2"/>
    <w:rsid w:val="25606E4A"/>
    <w:rsid w:val="25675458"/>
    <w:rsid w:val="2574519B"/>
    <w:rsid w:val="25757B75"/>
    <w:rsid w:val="25B6018D"/>
    <w:rsid w:val="25D725DE"/>
    <w:rsid w:val="25DC5E46"/>
    <w:rsid w:val="26166712"/>
    <w:rsid w:val="264E003E"/>
    <w:rsid w:val="26795443"/>
    <w:rsid w:val="26881B2A"/>
    <w:rsid w:val="268A58A2"/>
    <w:rsid w:val="26BD128D"/>
    <w:rsid w:val="26BD5C77"/>
    <w:rsid w:val="26C302EB"/>
    <w:rsid w:val="26F61193"/>
    <w:rsid w:val="272E0923"/>
    <w:rsid w:val="273B7E4A"/>
    <w:rsid w:val="273D0B66"/>
    <w:rsid w:val="276E2ACE"/>
    <w:rsid w:val="27767BD4"/>
    <w:rsid w:val="27781B9E"/>
    <w:rsid w:val="277A17F2"/>
    <w:rsid w:val="279A0D31"/>
    <w:rsid w:val="279D33B3"/>
    <w:rsid w:val="27A26C1B"/>
    <w:rsid w:val="27AF30E6"/>
    <w:rsid w:val="27B6199A"/>
    <w:rsid w:val="27CB43C4"/>
    <w:rsid w:val="27ED433A"/>
    <w:rsid w:val="28011B94"/>
    <w:rsid w:val="281D62A2"/>
    <w:rsid w:val="28414686"/>
    <w:rsid w:val="2852419D"/>
    <w:rsid w:val="28650375"/>
    <w:rsid w:val="288D78CB"/>
    <w:rsid w:val="28924EE2"/>
    <w:rsid w:val="289522DC"/>
    <w:rsid w:val="28B75817"/>
    <w:rsid w:val="290A4A78"/>
    <w:rsid w:val="2942121D"/>
    <w:rsid w:val="294F2DD3"/>
    <w:rsid w:val="29542197"/>
    <w:rsid w:val="29631E1F"/>
    <w:rsid w:val="29634188"/>
    <w:rsid w:val="29657F00"/>
    <w:rsid w:val="297E0C1C"/>
    <w:rsid w:val="298505A2"/>
    <w:rsid w:val="29BD1AEA"/>
    <w:rsid w:val="29C27101"/>
    <w:rsid w:val="29CC4423"/>
    <w:rsid w:val="29E42615"/>
    <w:rsid w:val="29E452C9"/>
    <w:rsid w:val="29F55728"/>
    <w:rsid w:val="29FF65A7"/>
    <w:rsid w:val="2A012DC7"/>
    <w:rsid w:val="2A3A313B"/>
    <w:rsid w:val="2A3F0EF2"/>
    <w:rsid w:val="2A750617"/>
    <w:rsid w:val="2A77438F"/>
    <w:rsid w:val="2A7F1496"/>
    <w:rsid w:val="2A952A67"/>
    <w:rsid w:val="2AB90504"/>
    <w:rsid w:val="2ACE7E15"/>
    <w:rsid w:val="2AD25A69"/>
    <w:rsid w:val="2AD417E1"/>
    <w:rsid w:val="2ADC41F2"/>
    <w:rsid w:val="2B0066E0"/>
    <w:rsid w:val="2B0674C1"/>
    <w:rsid w:val="2B193698"/>
    <w:rsid w:val="2B2D7144"/>
    <w:rsid w:val="2B30238E"/>
    <w:rsid w:val="2B373B1E"/>
    <w:rsid w:val="2B54022C"/>
    <w:rsid w:val="2B6D7540"/>
    <w:rsid w:val="2B8A6344"/>
    <w:rsid w:val="2BA52670"/>
    <w:rsid w:val="2BA80578"/>
    <w:rsid w:val="2BAF1907"/>
    <w:rsid w:val="2BB60EE7"/>
    <w:rsid w:val="2BC25ADE"/>
    <w:rsid w:val="2BC96E6C"/>
    <w:rsid w:val="2BDA24E2"/>
    <w:rsid w:val="2BE56496"/>
    <w:rsid w:val="2C484235"/>
    <w:rsid w:val="2C8E19F2"/>
    <w:rsid w:val="2C9254B0"/>
    <w:rsid w:val="2C9A6113"/>
    <w:rsid w:val="2CB872D2"/>
    <w:rsid w:val="2CDA29B3"/>
    <w:rsid w:val="2CDE3B85"/>
    <w:rsid w:val="2CE579FE"/>
    <w:rsid w:val="2D095047"/>
    <w:rsid w:val="2D0A3299"/>
    <w:rsid w:val="2D104627"/>
    <w:rsid w:val="2D546C0A"/>
    <w:rsid w:val="2D630BFB"/>
    <w:rsid w:val="2D7B23E8"/>
    <w:rsid w:val="2DA57465"/>
    <w:rsid w:val="2DF271BE"/>
    <w:rsid w:val="2E14581F"/>
    <w:rsid w:val="2E2C144A"/>
    <w:rsid w:val="2E4C5B33"/>
    <w:rsid w:val="2E861045"/>
    <w:rsid w:val="2EBD4347"/>
    <w:rsid w:val="2EBD7A09"/>
    <w:rsid w:val="2ECA7181"/>
    <w:rsid w:val="2ECE6548"/>
    <w:rsid w:val="2EED69CE"/>
    <w:rsid w:val="2EF61A1D"/>
    <w:rsid w:val="2F104DB2"/>
    <w:rsid w:val="2F234AE5"/>
    <w:rsid w:val="2F2820FC"/>
    <w:rsid w:val="2F300FB0"/>
    <w:rsid w:val="2F307202"/>
    <w:rsid w:val="2F4D7E97"/>
    <w:rsid w:val="2F665DFB"/>
    <w:rsid w:val="2FE73D65"/>
    <w:rsid w:val="3025488D"/>
    <w:rsid w:val="30357A05"/>
    <w:rsid w:val="306B04F2"/>
    <w:rsid w:val="30BC0D4E"/>
    <w:rsid w:val="30D24E4C"/>
    <w:rsid w:val="30DA5678"/>
    <w:rsid w:val="30E87D95"/>
    <w:rsid w:val="310E7807"/>
    <w:rsid w:val="3136638A"/>
    <w:rsid w:val="313905F0"/>
    <w:rsid w:val="313E79B5"/>
    <w:rsid w:val="31490108"/>
    <w:rsid w:val="31554E5B"/>
    <w:rsid w:val="316618AD"/>
    <w:rsid w:val="316B62D0"/>
    <w:rsid w:val="31706F7B"/>
    <w:rsid w:val="31774C75"/>
    <w:rsid w:val="31C25762"/>
    <w:rsid w:val="31D76BE3"/>
    <w:rsid w:val="31F74E8A"/>
    <w:rsid w:val="31FB7654"/>
    <w:rsid w:val="32270449"/>
    <w:rsid w:val="32456B21"/>
    <w:rsid w:val="32472899"/>
    <w:rsid w:val="328558AE"/>
    <w:rsid w:val="329C318F"/>
    <w:rsid w:val="32D16607"/>
    <w:rsid w:val="32E620B2"/>
    <w:rsid w:val="32EB76C8"/>
    <w:rsid w:val="33184D0A"/>
    <w:rsid w:val="33753436"/>
    <w:rsid w:val="33A04957"/>
    <w:rsid w:val="33C30645"/>
    <w:rsid w:val="33C65A3F"/>
    <w:rsid w:val="33D04B10"/>
    <w:rsid w:val="33D30ADC"/>
    <w:rsid w:val="33EF143A"/>
    <w:rsid w:val="341220B6"/>
    <w:rsid w:val="34142C4F"/>
    <w:rsid w:val="341964B7"/>
    <w:rsid w:val="342C4FCD"/>
    <w:rsid w:val="34367069"/>
    <w:rsid w:val="34675474"/>
    <w:rsid w:val="34823603"/>
    <w:rsid w:val="34833544"/>
    <w:rsid w:val="349618B6"/>
    <w:rsid w:val="34CC3529"/>
    <w:rsid w:val="34E94833"/>
    <w:rsid w:val="34EF1D65"/>
    <w:rsid w:val="35245113"/>
    <w:rsid w:val="353F3CFB"/>
    <w:rsid w:val="354C01C6"/>
    <w:rsid w:val="35780FBB"/>
    <w:rsid w:val="358636D8"/>
    <w:rsid w:val="35896E09"/>
    <w:rsid w:val="359E6C74"/>
    <w:rsid w:val="35A16764"/>
    <w:rsid w:val="35CB37E1"/>
    <w:rsid w:val="35DC59EE"/>
    <w:rsid w:val="35EF42B9"/>
    <w:rsid w:val="35FA5E74"/>
    <w:rsid w:val="36314F43"/>
    <w:rsid w:val="36581519"/>
    <w:rsid w:val="36873BAC"/>
    <w:rsid w:val="36A007CA"/>
    <w:rsid w:val="36AA33F6"/>
    <w:rsid w:val="36D92795"/>
    <w:rsid w:val="36E12571"/>
    <w:rsid w:val="36EC3A0F"/>
    <w:rsid w:val="36F154C9"/>
    <w:rsid w:val="371D006C"/>
    <w:rsid w:val="371E3CBD"/>
    <w:rsid w:val="37362EDC"/>
    <w:rsid w:val="37785B55"/>
    <w:rsid w:val="37B22EAA"/>
    <w:rsid w:val="37B95128"/>
    <w:rsid w:val="37D20E57"/>
    <w:rsid w:val="37D56B99"/>
    <w:rsid w:val="37F25055"/>
    <w:rsid w:val="38037262"/>
    <w:rsid w:val="381E5E4A"/>
    <w:rsid w:val="38437481"/>
    <w:rsid w:val="385E6B8E"/>
    <w:rsid w:val="387243E8"/>
    <w:rsid w:val="38954D5C"/>
    <w:rsid w:val="38A7458C"/>
    <w:rsid w:val="38CD161E"/>
    <w:rsid w:val="38DB3C0E"/>
    <w:rsid w:val="38DD174D"/>
    <w:rsid w:val="38EF7EFE"/>
    <w:rsid w:val="3914724D"/>
    <w:rsid w:val="39245B71"/>
    <w:rsid w:val="393C6ED0"/>
    <w:rsid w:val="39583BB2"/>
    <w:rsid w:val="398364E1"/>
    <w:rsid w:val="39930ABA"/>
    <w:rsid w:val="399860D0"/>
    <w:rsid w:val="39E430C3"/>
    <w:rsid w:val="3A60293F"/>
    <w:rsid w:val="3A9248CD"/>
    <w:rsid w:val="3ABE56C2"/>
    <w:rsid w:val="3AD35612"/>
    <w:rsid w:val="3AEC66D3"/>
    <w:rsid w:val="3B1D688D"/>
    <w:rsid w:val="3B381919"/>
    <w:rsid w:val="3B5F50F7"/>
    <w:rsid w:val="3B60677A"/>
    <w:rsid w:val="3B6B5D3F"/>
    <w:rsid w:val="3B707385"/>
    <w:rsid w:val="3B854432"/>
    <w:rsid w:val="3B903503"/>
    <w:rsid w:val="3BE23632"/>
    <w:rsid w:val="3BF75330"/>
    <w:rsid w:val="3BF770DE"/>
    <w:rsid w:val="3BF84C04"/>
    <w:rsid w:val="3C0B0DDB"/>
    <w:rsid w:val="3C236125"/>
    <w:rsid w:val="3C3D00EF"/>
    <w:rsid w:val="3C3E4D0D"/>
    <w:rsid w:val="3C5067EE"/>
    <w:rsid w:val="3C61334E"/>
    <w:rsid w:val="3C642299"/>
    <w:rsid w:val="3C7A1ABD"/>
    <w:rsid w:val="3C8B5A78"/>
    <w:rsid w:val="3C9C1A33"/>
    <w:rsid w:val="3CA44E56"/>
    <w:rsid w:val="3CC96F34"/>
    <w:rsid w:val="3CD63197"/>
    <w:rsid w:val="3CE84C78"/>
    <w:rsid w:val="3D20303A"/>
    <w:rsid w:val="3D271C45"/>
    <w:rsid w:val="3D3B2FFA"/>
    <w:rsid w:val="3D5D7415"/>
    <w:rsid w:val="3D913562"/>
    <w:rsid w:val="3DAE62DC"/>
    <w:rsid w:val="3DB72FC9"/>
    <w:rsid w:val="3DBF3C2B"/>
    <w:rsid w:val="3DF53AF1"/>
    <w:rsid w:val="3E03687A"/>
    <w:rsid w:val="3E0E42BB"/>
    <w:rsid w:val="3E0E6961"/>
    <w:rsid w:val="3E151A9D"/>
    <w:rsid w:val="3E5F540E"/>
    <w:rsid w:val="3E720C9E"/>
    <w:rsid w:val="3E7964D0"/>
    <w:rsid w:val="3E864749"/>
    <w:rsid w:val="3E8D5AD7"/>
    <w:rsid w:val="3E921340"/>
    <w:rsid w:val="3E970704"/>
    <w:rsid w:val="3E9B2183"/>
    <w:rsid w:val="3EC5537B"/>
    <w:rsid w:val="3EC97404"/>
    <w:rsid w:val="3ECA6D2C"/>
    <w:rsid w:val="3ED60CAA"/>
    <w:rsid w:val="3EEC0340"/>
    <w:rsid w:val="3EF23B8C"/>
    <w:rsid w:val="3EF67997"/>
    <w:rsid w:val="3F367F1D"/>
    <w:rsid w:val="3F88218E"/>
    <w:rsid w:val="3FC10EA5"/>
    <w:rsid w:val="3FCA68B7"/>
    <w:rsid w:val="3FD339BE"/>
    <w:rsid w:val="3FDE1C24"/>
    <w:rsid w:val="3FE21E53"/>
    <w:rsid w:val="3FFD0A3B"/>
    <w:rsid w:val="400E0E9A"/>
    <w:rsid w:val="4030282F"/>
    <w:rsid w:val="405014B2"/>
    <w:rsid w:val="405F7A3B"/>
    <w:rsid w:val="40774C8D"/>
    <w:rsid w:val="408B139C"/>
    <w:rsid w:val="409D5D7A"/>
    <w:rsid w:val="409F3063"/>
    <w:rsid w:val="40A13ABC"/>
    <w:rsid w:val="40CF23D7"/>
    <w:rsid w:val="40E816EB"/>
    <w:rsid w:val="40E8793D"/>
    <w:rsid w:val="40FC0CF2"/>
    <w:rsid w:val="410E77C8"/>
    <w:rsid w:val="4125649B"/>
    <w:rsid w:val="41395AA3"/>
    <w:rsid w:val="41405083"/>
    <w:rsid w:val="414A47BD"/>
    <w:rsid w:val="41543239"/>
    <w:rsid w:val="415E1ABC"/>
    <w:rsid w:val="416E31BD"/>
    <w:rsid w:val="417116E0"/>
    <w:rsid w:val="41990C37"/>
    <w:rsid w:val="419D4283"/>
    <w:rsid w:val="41AB564C"/>
    <w:rsid w:val="41BD0482"/>
    <w:rsid w:val="41C2018E"/>
    <w:rsid w:val="41C6282A"/>
    <w:rsid w:val="41D01063"/>
    <w:rsid w:val="42022339"/>
    <w:rsid w:val="42075BA1"/>
    <w:rsid w:val="42156510"/>
    <w:rsid w:val="423F533B"/>
    <w:rsid w:val="42460F98"/>
    <w:rsid w:val="42725710"/>
    <w:rsid w:val="42AC06FE"/>
    <w:rsid w:val="42AF1C5E"/>
    <w:rsid w:val="42DB667C"/>
    <w:rsid w:val="430B7913"/>
    <w:rsid w:val="430E411A"/>
    <w:rsid w:val="430F3CF6"/>
    <w:rsid w:val="430F7403"/>
    <w:rsid w:val="432664FB"/>
    <w:rsid w:val="43741014"/>
    <w:rsid w:val="4377167D"/>
    <w:rsid w:val="43866F99"/>
    <w:rsid w:val="43940334"/>
    <w:rsid w:val="43C755E8"/>
    <w:rsid w:val="43DD4E0B"/>
    <w:rsid w:val="440A1978"/>
    <w:rsid w:val="4416031D"/>
    <w:rsid w:val="44194668"/>
    <w:rsid w:val="442766C6"/>
    <w:rsid w:val="443469F5"/>
    <w:rsid w:val="4447497A"/>
    <w:rsid w:val="4450382F"/>
    <w:rsid w:val="447325C6"/>
    <w:rsid w:val="44974FF2"/>
    <w:rsid w:val="449F0313"/>
    <w:rsid w:val="44C96A80"/>
    <w:rsid w:val="44E126D9"/>
    <w:rsid w:val="44EB17AA"/>
    <w:rsid w:val="450D34CE"/>
    <w:rsid w:val="452058E6"/>
    <w:rsid w:val="45231DC7"/>
    <w:rsid w:val="454D7D6F"/>
    <w:rsid w:val="4577303D"/>
    <w:rsid w:val="45795008"/>
    <w:rsid w:val="458356D8"/>
    <w:rsid w:val="459926DC"/>
    <w:rsid w:val="45A35BE1"/>
    <w:rsid w:val="45BE6EBE"/>
    <w:rsid w:val="45C142B9"/>
    <w:rsid w:val="45CC5137"/>
    <w:rsid w:val="45D97854"/>
    <w:rsid w:val="46256F3D"/>
    <w:rsid w:val="465D2233"/>
    <w:rsid w:val="46603AD2"/>
    <w:rsid w:val="466E051F"/>
    <w:rsid w:val="469F284C"/>
    <w:rsid w:val="46B300A5"/>
    <w:rsid w:val="46C40504"/>
    <w:rsid w:val="46CB1059"/>
    <w:rsid w:val="46D83FB0"/>
    <w:rsid w:val="46F801AE"/>
    <w:rsid w:val="47013507"/>
    <w:rsid w:val="471F573B"/>
    <w:rsid w:val="47244212"/>
    <w:rsid w:val="47523D62"/>
    <w:rsid w:val="47537CFD"/>
    <w:rsid w:val="4794117D"/>
    <w:rsid w:val="47E366F3"/>
    <w:rsid w:val="47F46BC7"/>
    <w:rsid w:val="48270D4B"/>
    <w:rsid w:val="4840005F"/>
    <w:rsid w:val="48684EBF"/>
    <w:rsid w:val="488E7064"/>
    <w:rsid w:val="48C42A3E"/>
    <w:rsid w:val="48DB38E3"/>
    <w:rsid w:val="48E00EFA"/>
    <w:rsid w:val="48F86243"/>
    <w:rsid w:val="490C1CEF"/>
    <w:rsid w:val="49153299"/>
    <w:rsid w:val="49270A47"/>
    <w:rsid w:val="492B3565"/>
    <w:rsid w:val="495F4514"/>
    <w:rsid w:val="498D2E30"/>
    <w:rsid w:val="49971F00"/>
    <w:rsid w:val="49A62C56"/>
    <w:rsid w:val="49B54134"/>
    <w:rsid w:val="4A1A5B48"/>
    <w:rsid w:val="4A567891"/>
    <w:rsid w:val="4A5D4EF8"/>
    <w:rsid w:val="4A6B6544"/>
    <w:rsid w:val="4A6C0C97"/>
    <w:rsid w:val="4A9A1CA8"/>
    <w:rsid w:val="4AD14F9E"/>
    <w:rsid w:val="4AD609C9"/>
    <w:rsid w:val="4AEC1DD8"/>
    <w:rsid w:val="4B1A06F3"/>
    <w:rsid w:val="4B500DA3"/>
    <w:rsid w:val="4B7D6ED4"/>
    <w:rsid w:val="4B8B35AB"/>
    <w:rsid w:val="4BBA3C84"/>
    <w:rsid w:val="4BBF129A"/>
    <w:rsid w:val="4BC30D8B"/>
    <w:rsid w:val="4BC468B1"/>
    <w:rsid w:val="4C0C0983"/>
    <w:rsid w:val="4C0D1891"/>
    <w:rsid w:val="4C4A3198"/>
    <w:rsid w:val="4C716A38"/>
    <w:rsid w:val="4C796C44"/>
    <w:rsid w:val="4C8908A7"/>
    <w:rsid w:val="4C942727"/>
    <w:rsid w:val="4C965F02"/>
    <w:rsid w:val="4C9A3E35"/>
    <w:rsid w:val="4CBD57DA"/>
    <w:rsid w:val="4CC96874"/>
    <w:rsid w:val="4CE54D31"/>
    <w:rsid w:val="4D1473C4"/>
    <w:rsid w:val="4D296100"/>
    <w:rsid w:val="4D3161C8"/>
    <w:rsid w:val="4D4952BF"/>
    <w:rsid w:val="4D4B54DB"/>
    <w:rsid w:val="4D677E3B"/>
    <w:rsid w:val="4D714816"/>
    <w:rsid w:val="4D78714F"/>
    <w:rsid w:val="4D9A1FBF"/>
    <w:rsid w:val="4D9C1B0E"/>
    <w:rsid w:val="4DB50BA7"/>
    <w:rsid w:val="4DC25072"/>
    <w:rsid w:val="4DCA589B"/>
    <w:rsid w:val="4DCF7EBB"/>
    <w:rsid w:val="4DF323CB"/>
    <w:rsid w:val="4DF416CF"/>
    <w:rsid w:val="4E020F0B"/>
    <w:rsid w:val="4E0631B0"/>
    <w:rsid w:val="4E2D4BE1"/>
    <w:rsid w:val="4E355844"/>
    <w:rsid w:val="4E597784"/>
    <w:rsid w:val="4E7E368F"/>
    <w:rsid w:val="4E873F0D"/>
    <w:rsid w:val="4E914C8E"/>
    <w:rsid w:val="4E9E662E"/>
    <w:rsid w:val="4EAC01FC"/>
    <w:rsid w:val="4EBA33B0"/>
    <w:rsid w:val="4EC70B1C"/>
    <w:rsid w:val="4ECF0762"/>
    <w:rsid w:val="4F053468"/>
    <w:rsid w:val="4F11005F"/>
    <w:rsid w:val="4F326B16"/>
    <w:rsid w:val="4F3A75B6"/>
    <w:rsid w:val="4F4A3571"/>
    <w:rsid w:val="4F626B0C"/>
    <w:rsid w:val="4F652159"/>
    <w:rsid w:val="4F68666A"/>
    <w:rsid w:val="4F8942AD"/>
    <w:rsid w:val="4F972656"/>
    <w:rsid w:val="4FC8772A"/>
    <w:rsid w:val="4FF0236A"/>
    <w:rsid w:val="4FF254FA"/>
    <w:rsid w:val="4FF93C87"/>
    <w:rsid w:val="50111814"/>
    <w:rsid w:val="501F0559"/>
    <w:rsid w:val="50245B70"/>
    <w:rsid w:val="502E69EF"/>
    <w:rsid w:val="50424937"/>
    <w:rsid w:val="50797CC1"/>
    <w:rsid w:val="50830AE8"/>
    <w:rsid w:val="50B909AE"/>
    <w:rsid w:val="50C35389"/>
    <w:rsid w:val="50D70E34"/>
    <w:rsid w:val="50E61077"/>
    <w:rsid w:val="50EF0267"/>
    <w:rsid w:val="50F33D56"/>
    <w:rsid w:val="51087240"/>
    <w:rsid w:val="51136310"/>
    <w:rsid w:val="511856D5"/>
    <w:rsid w:val="514A5AAA"/>
    <w:rsid w:val="51556929"/>
    <w:rsid w:val="51714DE5"/>
    <w:rsid w:val="517A638F"/>
    <w:rsid w:val="51890380"/>
    <w:rsid w:val="518D446D"/>
    <w:rsid w:val="519136D9"/>
    <w:rsid w:val="5196484B"/>
    <w:rsid w:val="51BC69A8"/>
    <w:rsid w:val="51BF3DA2"/>
    <w:rsid w:val="51D50A0B"/>
    <w:rsid w:val="52452FD7"/>
    <w:rsid w:val="5258682F"/>
    <w:rsid w:val="52701540"/>
    <w:rsid w:val="527032EE"/>
    <w:rsid w:val="52B21B59"/>
    <w:rsid w:val="52C84ED8"/>
    <w:rsid w:val="53035F10"/>
    <w:rsid w:val="5345477B"/>
    <w:rsid w:val="534F1156"/>
    <w:rsid w:val="536F35A6"/>
    <w:rsid w:val="538708F0"/>
    <w:rsid w:val="538E3813"/>
    <w:rsid w:val="53D578AD"/>
    <w:rsid w:val="53EE6862"/>
    <w:rsid w:val="54106B37"/>
    <w:rsid w:val="54302D35"/>
    <w:rsid w:val="543547EF"/>
    <w:rsid w:val="54694499"/>
    <w:rsid w:val="548337AD"/>
    <w:rsid w:val="54A86D6F"/>
    <w:rsid w:val="54ED6E78"/>
    <w:rsid w:val="551B5793"/>
    <w:rsid w:val="551C457A"/>
    <w:rsid w:val="55376345"/>
    <w:rsid w:val="556A671B"/>
    <w:rsid w:val="55935C72"/>
    <w:rsid w:val="55C4407D"/>
    <w:rsid w:val="55E262B1"/>
    <w:rsid w:val="55EE4C56"/>
    <w:rsid w:val="56004989"/>
    <w:rsid w:val="563458D5"/>
    <w:rsid w:val="566E1BB0"/>
    <w:rsid w:val="569972B8"/>
    <w:rsid w:val="56ED7603"/>
    <w:rsid w:val="57075C8F"/>
    <w:rsid w:val="571F7091"/>
    <w:rsid w:val="572D17AE"/>
    <w:rsid w:val="574014E1"/>
    <w:rsid w:val="57835872"/>
    <w:rsid w:val="579B73EB"/>
    <w:rsid w:val="57B30C6D"/>
    <w:rsid w:val="57BD5228"/>
    <w:rsid w:val="57FA3D86"/>
    <w:rsid w:val="582901C7"/>
    <w:rsid w:val="586B07E0"/>
    <w:rsid w:val="586E207E"/>
    <w:rsid w:val="58AB32D2"/>
    <w:rsid w:val="58D520FD"/>
    <w:rsid w:val="59030A18"/>
    <w:rsid w:val="59164CB6"/>
    <w:rsid w:val="59301A29"/>
    <w:rsid w:val="5943175D"/>
    <w:rsid w:val="595E20F3"/>
    <w:rsid w:val="598F04FE"/>
    <w:rsid w:val="59915288"/>
    <w:rsid w:val="599524BD"/>
    <w:rsid w:val="5999312B"/>
    <w:rsid w:val="59AA17DC"/>
    <w:rsid w:val="59B95834"/>
    <w:rsid w:val="59E00D5A"/>
    <w:rsid w:val="59E85E60"/>
    <w:rsid w:val="59FE4742"/>
    <w:rsid w:val="5A1E1882"/>
    <w:rsid w:val="5A414152"/>
    <w:rsid w:val="5A4A2677"/>
    <w:rsid w:val="5A513A05"/>
    <w:rsid w:val="5A5A56A5"/>
    <w:rsid w:val="5AA955EF"/>
    <w:rsid w:val="5AB90790"/>
    <w:rsid w:val="5ABD109B"/>
    <w:rsid w:val="5AC8016B"/>
    <w:rsid w:val="5ACC12DE"/>
    <w:rsid w:val="5B87226B"/>
    <w:rsid w:val="5B962018"/>
    <w:rsid w:val="5B971EDA"/>
    <w:rsid w:val="5BA109BC"/>
    <w:rsid w:val="5BA81D4B"/>
    <w:rsid w:val="5BD40D92"/>
    <w:rsid w:val="5C2F6D5A"/>
    <w:rsid w:val="5C317F92"/>
    <w:rsid w:val="5C4C26D6"/>
    <w:rsid w:val="5C657C3C"/>
    <w:rsid w:val="5C6E089F"/>
    <w:rsid w:val="5C7659A5"/>
    <w:rsid w:val="5C967DF5"/>
    <w:rsid w:val="5C9A1694"/>
    <w:rsid w:val="5CAE513F"/>
    <w:rsid w:val="5CB83A5A"/>
    <w:rsid w:val="5CBA7B48"/>
    <w:rsid w:val="5CE2128D"/>
    <w:rsid w:val="5CEE5E83"/>
    <w:rsid w:val="5CF50FC0"/>
    <w:rsid w:val="5CFF599B"/>
    <w:rsid w:val="5D3715D8"/>
    <w:rsid w:val="5D4362C0"/>
    <w:rsid w:val="5D477D62"/>
    <w:rsid w:val="5D7734CC"/>
    <w:rsid w:val="5D9C58DF"/>
    <w:rsid w:val="5D9F2CDA"/>
    <w:rsid w:val="5DD955BA"/>
    <w:rsid w:val="5DE271BC"/>
    <w:rsid w:val="5DED7EE9"/>
    <w:rsid w:val="5E0314BA"/>
    <w:rsid w:val="5E0F1C0D"/>
    <w:rsid w:val="5E1611EE"/>
    <w:rsid w:val="5E3873B6"/>
    <w:rsid w:val="5E407C0D"/>
    <w:rsid w:val="5E411504"/>
    <w:rsid w:val="5E416ED2"/>
    <w:rsid w:val="5E5E4943"/>
    <w:rsid w:val="5E700844"/>
    <w:rsid w:val="5E850121"/>
    <w:rsid w:val="5EB82FAF"/>
    <w:rsid w:val="5EE72E4C"/>
    <w:rsid w:val="5EF33096"/>
    <w:rsid w:val="5EFD0600"/>
    <w:rsid w:val="5F13572D"/>
    <w:rsid w:val="5F6917F1"/>
    <w:rsid w:val="5FA62A45"/>
    <w:rsid w:val="5FBF1411"/>
    <w:rsid w:val="5FD31D08"/>
    <w:rsid w:val="5FFF5CB2"/>
    <w:rsid w:val="601C6864"/>
    <w:rsid w:val="6042276E"/>
    <w:rsid w:val="604C0EF7"/>
    <w:rsid w:val="606049A2"/>
    <w:rsid w:val="606C77EB"/>
    <w:rsid w:val="60932FCA"/>
    <w:rsid w:val="609D19AE"/>
    <w:rsid w:val="60DF7434"/>
    <w:rsid w:val="60E05AE3"/>
    <w:rsid w:val="6105554A"/>
    <w:rsid w:val="61131E04"/>
    <w:rsid w:val="615D5386"/>
    <w:rsid w:val="615E6F36"/>
    <w:rsid w:val="615F3E1A"/>
    <w:rsid w:val="617378AE"/>
    <w:rsid w:val="61B825BC"/>
    <w:rsid w:val="61C55405"/>
    <w:rsid w:val="621C5035"/>
    <w:rsid w:val="622540F5"/>
    <w:rsid w:val="62353C0D"/>
    <w:rsid w:val="624B51DE"/>
    <w:rsid w:val="62B2785F"/>
    <w:rsid w:val="62B965EC"/>
    <w:rsid w:val="62D11B87"/>
    <w:rsid w:val="6301327A"/>
    <w:rsid w:val="63372411"/>
    <w:rsid w:val="6353259C"/>
    <w:rsid w:val="63724E1C"/>
    <w:rsid w:val="637644DD"/>
    <w:rsid w:val="639257BA"/>
    <w:rsid w:val="63927FB4"/>
    <w:rsid w:val="639C03E7"/>
    <w:rsid w:val="63AB23D8"/>
    <w:rsid w:val="63B9315F"/>
    <w:rsid w:val="63BD75C1"/>
    <w:rsid w:val="63E8362C"/>
    <w:rsid w:val="640B2E77"/>
    <w:rsid w:val="641206A9"/>
    <w:rsid w:val="643459B0"/>
    <w:rsid w:val="64373C6C"/>
    <w:rsid w:val="64524F4A"/>
    <w:rsid w:val="64552344"/>
    <w:rsid w:val="645E744B"/>
    <w:rsid w:val="6472794C"/>
    <w:rsid w:val="64784E9A"/>
    <w:rsid w:val="648A6492"/>
    <w:rsid w:val="649F556E"/>
    <w:rsid w:val="64A62BA0"/>
    <w:rsid w:val="64DE7E1B"/>
    <w:rsid w:val="64E77440"/>
    <w:rsid w:val="65031DA0"/>
    <w:rsid w:val="65530F79"/>
    <w:rsid w:val="656C3DE9"/>
    <w:rsid w:val="659245F2"/>
    <w:rsid w:val="65A0641A"/>
    <w:rsid w:val="65D232A9"/>
    <w:rsid w:val="661029C7"/>
    <w:rsid w:val="66375C1A"/>
    <w:rsid w:val="66411448"/>
    <w:rsid w:val="664408C2"/>
    <w:rsid w:val="66644AC0"/>
    <w:rsid w:val="667C4500"/>
    <w:rsid w:val="66815672"/>
    <w:rsid w:val="66925AD1"/>
    <w:rsid w:val="66952ECC"/>
    <w:rsid w:val="66A870A3"/>
    <w:rsid w:val="66C739CD"/>
    <w:rsid w:val="671605DE"/>
    <w:rsid w:val="671D183F"/>
    <w:rsid w:val="67407FB5"/>
    <w:rsid w:val="674A63AC"/>
    <w:rsid w:val="675039C2"/>
    <w:rsid w:val="675A65EF"/>
    <w:rsid w:val="6779459B"/>
    <w:rsid w:val="67A175EE"/>
    <w:rsid w:val="67A96C2F"/>
    <w:rsid w:val="67AA29A7"/>
    <w:rsid w:val="67F307F2"/>
    <w:rsid w:val="680315E9"/>
    <w:rsid w:val="68106CAE"/>
    <w:rsid w:val="68112A26"/>
    <w:rsid w:val="681A5062"/>
    <w:rsid w:val="68273FF7"/>
    <w:rsid w:val="68297D70"/>
    <w:rsid w:val="68337CD3"/>
    <w:rsid w:val="68362C8E"/>
    <w:rsid w:val="684626D0"/>
    <w:rsid w:val="686C02FC"/>
    <w:rsid w:val="687C2595"/>
    <w:rsid w:val="688431F8"/>
    <w:rsid w:val="68861CE0"/>
    <w:rsid w:val="6897475F"/>
    <w:rsid w:val="68CF4DBB"/>
    <w:rsid w:val="68D221B5"/>
    <w:rsid w:val="68EA6364"/>
    <w:rsid w:val="690031C6"/>
    <w:rsid w:val="69076303"/>
    <w:rsid w:val="690802CD"/>
    <w:rsid w:val="692A386C"/>
    <w:rsid w:val="692C6EAF"/>
    <w:rsid w:val="692F561B"/>
    <w:rsid w:val="6941574A"/>
    <w:rsid w:val="69D07B2E"/>
    <w:rsid w:val="69D81736"/>
    <w:rsid w:val="69E66D34"/>
    <w:rsid w:val="6A03319F"/>
    <w:rsid w:val="6A4C29ED"/>
    <w:rsid w:val="6A4E7F61"/>
    <w:rsid w:val="6A527A52"/>
    <w:rsid w:val="6A590DE0"/>
    <w:rsid w:val="6A743F25"/>
    <w:rsid w:val="6A7774B8"/>
    <w:rsid w:val="6A7F636D"/>
    <w:rsid w:val="6A8739D3"/>
    <w:rsid w:val="6A99584C"/>
    <w:rsid w:val="6AB06526"/>
    <w:rsid w:val="6AC24567"/>
    <w:rsid w:val="6AC412B9"/>
    <w:rsid w:val="6AC52E02"/>
    <w:rsid w:val="6AD1632C"/>
    <w:rsid w:val="6AE368FC"/>
    <w:rsid w:val="6B0845B4"/>
    <w:rsid w:val="6B434C17"/>
    <w:rsid w:val="6B4F5D3F"/>
    <w:rsid w:val="6B6B23C9"/>
    <w:rsid w:val="6BB137DC"/>
    <w:rsid w:val="6BC50F7E"/>
    <w:rsid w:val="6BE04BE9"/>
    <w:rsid w:val="6C0B610A"/>
    <w:rsid w:val="6C0C3C30"/>
    <w:rsid w:val="6C21592D"/>
    <w:rsid w:val="6C353187"/>
    <w:rsid w:val="6CAB51F7"/>
    <w:rsid w:val="6CBC7404"/>
    <w:rsid w:val="6CE3306D"/>
    <w:rsid w:val="6CE40709"/>
    <w:rsid w:val="6CF22E26"/>
    <w:rsid w:val="6CFC7733"/>
    <w:rsid w:val="6D035033"/>
    <w:rsid w:val="6D4B2536"/>
    <w:rsid w:val="6D5B09CB"/>
    <w:rsid w:val="6D657A9C"/>
    <w:rsid w:val="6DBB3B60"/>
    <w:rsid w:val="6DCE5641"/>
    <w:rsid w:val="6DD2036C"/>
    <w:rsid w:val="6DD53938"/>
    <w:rsid w:val="6E054DDB"/>
    <w:rsid w:val="6E076DA5"/>
    <w:rsid w:val="6E11552E"/>
    <w:rsid w:val="6E331948"/>
    <w:rsid w:val="6E7348AC"/>
    <w:rsid w:val="6E8201DA"/>
    <w:rsid w:val="6E8B3532"/>
    <w:rsid w:val="6E9A5523"/>
    <w:rsid w:val="6E9E7C3E"/>
    <w:rsid w:val="6ECE1688"/>
    <w:rsid w:val="6EFD5AB2"/>
    <w:rsid w:val="6F0B33AA"/>
    <w:rsid w:val="6F2662E7"/>
    <w:rsid w:val="6F5E47A3"/>
    <w:rsid w:val="6F6B6EC0"/>
    <w:rsid w:val="6F783520"/>
    <w:rsid w:val="6FB16FC8"/>
    <w:rsid w:val="6FB81E6A"/>
    <w:rsid w:val="6FD34E49"/>
    <w:rsid w:val="6FD607DD"/>
    <w:rsid w:val="6FD74555"/>
    <w:rsid w:val="6FDC1B6B"/>
    <w:rsid w:val="6FE43C9C"/>
    <w:rsid w:val="70064251"/>
    <w:rsid w:val="700D7F77"/>
    <w:rsid w:val="70175A87"/>
    <w:rsid w:val="7028621B"/>
    <w:rsid w:val="70313C65"/>
    <w:rsid w:val="705A140E"/>
    <w:rsid w:val="705C33D8"/>
    <w:rsid w:val="7060279C"/>
    <w:rsid w:val="70645DE9"/>
    <w:rsid w:val="706A28AB"/>
    <w:rsid w:val="708C17E3"/>
    <w:rsid w:val="70E8177B"/>
    <w:rsid w:val="70F74EAF"/>
    <w:rsid w:val="71022D79"/>
    <w:rsid w:val="710B44B6"/>
    <w:rsid w:val="710B5F16"/>
    <w:rsid w:val="7121200D"/>
    <w:rsid w:val="71285068"/>
    <w:rsid w:val="71381023"/>
    <w:rsid w:val="71491080"/>
    <w:rsid w:val="714A76D4"/>
    <w:rsid w:val="714D0F73"/>
    <w:rsid w:val="714D4ACF"/>
    <w:rsid w:val="717C7162"/>
    <w:rsid w:val="71BE3C1E"/>
    <w:rsid w:val="71C51B56"/>
    <w:rsid w:val="71CF3736"/>
    <w:rsid w:val="71D7251D"/>
    <w:rsid w:val="71F8448B"/>
    <w:rsid w:val="71FE226D"/>
    <w:rsid w:val="72086C48"/>
    <w:rsid w:val="721F66FB"/>
    <w:rsid w:val="722F68CA"/>
    <w:rsid w:val="7230696B"/>
    <w:rsid w:val="723914F7"/>
    <w:rsid w:val="724203AC"/>
    <w:rsid w:val="72513A74"/>
    <w:rsid w:val="727E6F0A"/>
    <w:rsid w:val="728D2599"/>
    <w:rsid w:val="72AE3C93"/>
    <w:rsid w:val="72BA6194"/>
    <w:rsid w:val="72C42C77"/>
    <w:rsid w:val="72D51220"/>
    <w:rsid w:val="72EE0533"/>
    <w:rsid w:val="72F150B2"/>
    <w:rsid w:val="72FD0776"/>
    <w:rsid w:val="733028FA"/>
    <w:rsid w:val="735F6D3B"/>
    <w:rsid w:val="73652EFE"/>
    <w:rsid w:val="737427E7"/>
    <w:rsid w:val="73840550"/>
    <w:rsid w:val="73893DB8"/>
    <w:rsid w:val="73D94D40"/>
    <w:rsid w:val="73D96632"/>
    <w:rsid w:val="73E334C8"/>
    <w:rsid w:val="740416C7"/>
    <w:rsid w:val="740A73CA"/>
    <w:rsid w:val="746C1710"/>
    <w:rsid w:val="747607E0"/>
    <w:rsid w:val="74806F69"/>
    <w:rsid w:val="74E53270"/>
    <w:rsid w:val="74EC45FF"/>
    <w:rsid w:val="752A6D36"/>
    <w:rsid w:val="753D2ADD"/>
    <w:rsid w:val="756B7C19"/>
    <w:rsid w:val="75B76E7E"/>
    <w:rsid w:val="75B90985"/>
    <w:rsid w:val="75EC00A0"/>
    <w:rsid w:val="75F25C45"/>
    <w:rsid w:val="76053860"/>
    <w:rsid w:val="762229CE"/>
    <w:rsid w:val="764D37C3"/>
    <w:rsid w:val="76564426"/>
    <w:rsid w:val="765F16D7"/>
    <w:rsid w:val="76A35191"/>
    <w:rsid w:val="76BB24DB"/>
    <w:rsid w:val="76C375E1"/>
    <w:rsid w:val="76DA5057"/>
    <w:rsid w:val="76F31C74"/>
    <w:rsid w:val="76F720CD"/>
    <w:rsid w:val="77043E82"/>
    <w:rsid w:val="771542E1"/>
    <w:rsid w:val="772C4F70"/>
    <w:rsid w:val="773A78A3"/>
    <w:rsid w:val="774E5EED"/>
    <w:rsid w:val="776668AD"/>
    <w:rsid w:val="77752FD1"/>
    <w:rsid w:val="777F175A"/>
    <w:rsid w:val="77BF424C"/>
    <w:rsid w:val="77D73080"/>
    <w:rsid w:val="77DF044B"/>
    <w:rsid w:val="77ED75BD"/>
    <w:rsid w:val="77FE4D75"/>
    <w:rsid w:val="780A371A"/>
    <w:rsid w:val="78511348"/>
    <w:rsid w:val="78841862"/>
    <w:rsid w:val="78BF5A0A"/>
    <w:rsid w:val="78E7149B"/>
    <w:rsid w:val="791F54A6"/>
    <w:rsid w:val="79297BCF"/>
    <w:rsid w:val="79377C11"/>
    <w:rsid w:val="798968C0"/>
    <w:rsid w:val="79BE0C60"/>
    <w:rsid w:val="79C61E06"/>
    <w:rsid w:val="79C65D29"/>
    <w:rsid w:val="79D35D8D"/>
    <w:rsid w:val="79FD30A7"/>
    <w:rsid w:val="7A042116"/>
    <w:rsid w:val="7A0B7D7A"/>
    <w:rsid w:val="7A287E87"/>
    <w:rsid w:val="7A5C3FD5"/>
    <w:rsid w:val="7A613399"/>
    <w:rsid w:val="7A6F1F5A"/>
    <w:rsid w:val="7AAF2356"/>
    <w:rsid w:val="7AF77961"/>
    <w:rsid w:val="7AF95CC7"/>
    <w:rsid w:val="7B1734D9"/>
    <w:rsid w:val="7B2014A6"/>
    <w:rsid w:val="7B3D1CC7"/>
    <w:rsid w:val="7B656EB9"/>
    <w:rsid w:val="7B711D02"/>
    <w:rsid w:val="7B827A6B"/>
    <w:rsid w:val="7B845591"/>
    <w:rsid w:val="7B851309"/>
    <w:rsid w:val="7B9A3006"/>
    <w:rsid w:val="7BA56FA2"/>
    <w:rsid w:val="7BA75723"/>
    <w:rsid w:val="7BF73FB5"/>
    <w:rsid w:val="7BFA5853"/>
    <w:rsid w:val="7C030BAC"/>
    <w:rsid w:val="7C23124E"/>
    <w:rsid w:val="7C2A25DC"/>
    <w:rsid w:val="7C3177C6"/>
    <w:rsid w:val="7C321491"/>
    <w:rsid w:val="7C4E5B9F"/>
    <w:rsid w:val="7C5163CD"/>
    <w:rsid w:val="7C6F7FEF"/>
    <w:rsid w:val="7C7C44BA"/>
    <w:rsid w:val="7CCC3693"/>
    <w:rsid w:val="7CCF6F3E"/>
    <w:rsid w:val="7CDF0B8E"/>
    <w:rsid w:val="7CE107C1"/>
    <w:rsid w:val="7CEA3B1A"/>
    <w:rsid w:val="7CF16C56"/>
    <w:rsid w:val="7D0D3FCB"/>
    <w:rsid w:val="7D2C7C8E"/>
    <w:rsid w:val="7D2F3C22"/>
    <w:rsid w:val="7D2F59D0"/>
    <w:rsid w:val="7D647736"/>
    <w:rsid w:val="7D67516A"/>
    <w:rsid w:val="7D741635"/>
    <w:rsid w:val="7D782ED3"/>
    <w:rsid w:val="7D847ACA"/>
    <w:rsid w:val="7D871F78"/>
    <w:rsid w:val="7D87580C"/>
    <w:rsid w:val="7DB54128"/>
    <w:rsid w:val="7DCE7506"/>
    <w:rsid w:val="7DD56578"/>
    <w:rsid w:val="7E0D5D12"/>
    <w:rsid w:val="7E221BFA"/>
    <w:rsid w:val="7E2748F9"/>
    <w:rsid w:val="7E292420"/>
    <w:rsid w:val="7E29263F"/>
    <w:rsid w:val="7E4B3119"/>
    <w:rsid w:val="7E4E1BEE"/>
    <w:rsid w:val="7E4E402F"/>
    <w:rsid w:val="7E53749D"/>
    <w:rsid w:val="7E5971A9"/>
    <w:rsid w:val="7E9401E1"/>
    <w:rsid w:val="7E9E0167"/>
    <w:rsid w:val="7EAD12A3"/>
    <w:rsid w:val="7EAF501B"/>
    <w:rsid w:val="7EC0451B"/>
    <w:rsid w:val="7EF90044"/>
    <w:rsid w:val="7F0554B3"/>
    <w:rsid w:val="7F084A82"/>
    <w:rsid w:val="7F1B620C"/>
    <w:rsid w:val="7F4C0ABC"/>
    <w:rsid w:val="7F8042C1"/>
    <w:rsid w:val="7F8518D8"/>
    <w:rsid w:val="7F875650"/>
    <w:rsid w:val="7FA44454"/>
    <w:rsid w:val="7FE17D3B"/>
    <w:rsid w:val="7FE42AA2"/>
    <w:rsid w:val="7FEC7BA9"/>
    <w:rsid w:val="7FF6731A"/>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9">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styleId="10">
    <w:name w:val="page number"/>
    <w:basedOn w:val="9"/>
    <w:qFormat/>
    <w:uiPriority w:val="0"/>
  </w:style>
  <w:style w:type="paragraph" w:customStyle="1" w:styleId="11">
    <w:name w:val="001"/>
    <w:basedOn w:val="1"/>
    <w:qFormat/>
    <w:uiPriority w:val="0"/>
    <w:pPr>
      <w:spacing w:beforeLines="50" w:afterLines="50" w:line="360" w:lineRule="auto"/>
      <w:ind w:firstLine="420" w:firstLineChars="200"/>
    </w:pPr>
    <w:rPr>
      <w:rFonts w:ascii="Calibri" w:hAnsi="Calibri" w:eastAsia="黑体"/>
      <w:szCs w:val="21"/>
    </w:rPr>
  </w:style>
  <w:style w:type="paragraph" w:customStyle="1" w:styleId="12">
    <w:name w:val="002"/>
    <w:basedOn w:val="1"/>
    <w:qFormat/>
    <w:uiPriority w:val="0"/>
    <w:pPr>
      <w:spacing w:beforeLines="50" w:afterLines="50" w:line="360" w:lineRule="auto"/>
      <w:ind w:firstLine="420" w:firstLineChars="200"/>
    </w:pPr>
    <w:rPr>
      <w:rFonts w:ascii="Corbel" w:hAnsi="Corbe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1396</Words>
  <Characters>1410</Characters>
  <Lines>25</Lines>
  <Paragraphs>7</Paragraphs>
  <TotalTime>1079</TotalTime>
  <ScaleCrop>false</ScaleCrop>
  <LinksUpToDate>false</LinksUpToDate>
  <CharactersWithSpaces>1419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2020-01-16T12:07:00Z</dcterms:created>
  <dc:creator>Administrator</dc:creator>
  <cp:lastModifiedBy>D3ath亡魂</cp:lastModifiedBy>
  <cp:lastPrinted>2023-01-31T05:05:00Z</cp:lastPrinted>
  <dcterms:modified xsi:type="dcterms:W3CDTF">2026-02-05T03:26:53Z</dcterms:modified>
  <dc:title>那曲市审计局2020年度部门预算</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6795BECB657E4A1F8A9BDBCDB7210B97</vt:lpwstr>
  </property>
  <property fmtid="{D5CDD505-2E9C-101B-9397-08002B2CF9AE}" pid="4" name="KSOTemplateDocerSaveRecord">
    <vt:lpwstr>eyJoZGlkIjoiMjI3N2RlMmViZTFkZjU3ZTgyMmYzMGFmMmQ2NWYzMzciLCJ1c2VySWQiOiI5NzQzMDk5OTkifQ==</vt:lpwstr>
  </property>
</Properties>
</file>