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西藏自治区那曲市森布日第二幼儿园2024年度部门决算公开报告</w:t>
      </w:r>
    </w:p>
    <w:p w14:paraId="1E8F4CF7">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（公开文字说明参考模板）</w:t>
      </w: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E57563D">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65C401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BD7D57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1FC70A3">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7A0C842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F3513AE">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5010B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704E608">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EC8D6DA">
      <w:pPr>
        <w:spacing w:line="578" w:lineRule="exact"/>
        <w:jc w:val="both"/>
        <w:rPr>
          <w:rFonts w:hint="eastAsia" w:ascii="黑体" w:hAnsi="ˎ̥" w:eastAsia="黑体"/>
          <w:sz w:val="32"/>
          <w:szCs w:val="32"/>
        </w:rPr>
      </w:pPr>
      <w:bookmarkStart w:id="2" w:name="_Toc23465_WPSOffice_Level1"/>
      <w:bookmarkStart w:id="3" w:name="_Toc10720_WPSOffice_Level1"/>
      <w:bookmarkStart w:id="4" w:name="_Toc1704_WPSOffice_Level1"/>
      <w:bookmarkStart w:id="5" w:name="_Toc32433_WPSOffice_Level1"/>
      <w:bookmarkStart w:id="6" w:name="_Toc10049_WPSOffice_Level1"/>
      <w:bookmarkStart w:id="7" w:name="_Toc22941_WPSOffice_Level1"/>
      <w:bookmarkStart w:id="8" w:name="_Toc24238_WPSOffice_Level2"/>
      <w:bookmarkStart w:id="9" w:name="_Toc14159_WPSOffice_Level2"/>
      <w:bookmarkStart w:id="10" w:name="_Toc20274_WPSOffice_Level2"/>
      <w:bookmarkStart w:id="11" w:name="_Toc20205_WPSOffice_Level2"/>
      <w:bookmarkStart w:id="12" w:name="_Toc32622_WPSOffice_Level2"/>
      <w:bookmarkStart w:id="13" w:name="_Toc26580_WPSOffice_Level2"/>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p>
    <w:p w14:paraId="0680DACE">
      <w:pPr>
        <w:spacing w:line="578" w:lineRule="exact"/>
        <w:ind w:firstLine="640" w:firstLineChars="200"/>
        <w:rPr>
          <w:rFonts w:hint="eastAsia" w:ascii="黑体" w:hAnsi="黑体" w:eastAsia="黑体" w:cs="黑体"/>
          <w:sz w:val="32"/>
          <w:szCs w:val="32"/>
        </w:rPr>
      </w:pPr>
      <w:bookmarkStart w:id="14" w:name="_Toc17796_WPSOffice_Level2"/>
      <w:bookmarkStart w:id="15" w:name="_Toc6572_WPSOffice_Level2"/>
      <w:bookmarkStart w:id="16" w:name="_Toc24059_WPSOffice_Level2"/>
      <w:bookmarkStart w:id="17" w:name="_Toc4833_WPSOffice_Level2"/>
      <w:bookmarkStart w:id="18" w:name="_Toc24474_WPSOffice_Level2"/>
      <w:r>
        <w:rPr>
          <w:rFonts w:hint="eastAsia" w:ascii="黑体" w:hAnsi="黑体" w:eastAsia="黑体" w:cs="黑体"/>
          <w:sz w:val="32"/>
          <w:szCs w:val="32"/>
        </w:rPr>
        <w:t>二、机构设置</w:t>
      </w:r>
      <w:bookmarkEnd w:id="14"/>
      <w:bookmarkEnd w:id="15"/>
      <w:bookmarkEnd w:id="16"/>
      <w:bookmarkEnd w:id="17"/>
      <w:bookmarkEnd w:id="18"/>
    </w:p>
    <w:p w14:paraId="18537C8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森布日第二幼儿园位于山南市贡嘎县森布日高海拔生态搬迁点，学校创建于2022年8月，现有学校占地面积7754.35平方米，建筑面积4732.83平方，2023年总班级数为11个，学生520人。全校教职工总共为23人。</w:t>
      </w:r>
    </w:p>
    <w:p w14:paraId="78BCCD4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lang w:val="en-US" w:eastAsia="zh-CN"/>
        </w:rPr>
      </w:pPr>
      <w:r>
        <w:rPr>
          <w:rFonts w:hint="eastAsia" w:ascii="仿宋_GB2312" w:hAnsi="ˎ̥" w:eastAsia="仿宋_GB2312"/>
          <w:b/>
          <w:bCs/>
          <w:sz w:val="32"/>
          <w:szCs w:val="32"/>
          <w:lang w:val="en-US" w:eastAsia="zh-CN"/>
        </w:rPr>
        <w:t>（一）、部门基本职能</w:t>
      </w:r>
      <w:r>
        <w:rPr>
          <w:rFonts w:hint="eastAsia" w:ascii="仿宋_GB2312" w:hAnsi="ˎ̥" w:eastAsia="仿宋_GB2312"/>
          <w:sz w:val="32"/>
          <w:szCs w:val="32"/>
          <w:lang w:val="en-US" w:eastAsia="zh-CN"/>
        </w:rPr>
        <w:t xml:space="preserve"> </w:t>
      </w:r>
    </w:p>
    <w:p w14:paraId="097C674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全方面落实实施党和国家教育方针、政策、法规。坚持社会主义办学方向，努力培养德、智、体、美全面发展社会主义事业接班者和接班人。</w:t>
      </w:r>
    </w:p>
    <w:p w14:paraId="356B8D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2、负责依法制定学校章程，并按教育规律办学，不停提升教育教学质量。</w:t>
      </w:r>
    </w:p>
    <w:p w14:paraId="0C9931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 xml:space="preserve">3、负责制定学校教育发展规划，并抓好组织实施和落实工作   </w:t>
      </w:r>
    </w:p>
    <w:p w14:paraId="549C1A1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 xml:space="preserve"> 4、负责维护学校师生的合法权益，依法接受各级教育行政部门的检查指导和人民群众的监督。</w:t>
      </w:r>
    </w:p>
    <w:p w14:paraId="6FCBD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p>
    <w:p w14:paraId="3F5672C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lang w:val="en-US" w:eastAsia="zh-CN"/>
        </w:rPr>
      </w:pPr>
      <w:bookmarkStart w:id="119" w:name="_GoBack"/>
      <w:r>
        <w:rPr>
          <w:rFonts w:hint="eastAsia" w:ascii="仿宋_GB2312" w:hAnsi="ˎ̥" w:eastAsia="仿宋_GB2312"/>
          <w:b/>
          <w:bCs/>
          <w:sz w:val="32"/>
          <w:szCs w:val="32"/>
          <w:lang w:val="en-US" w:eastAsia="zh-CN"/>
        </w:rPr>
        <w:t>（二）、部门机构设置情况</w:t>
      </w:r>
      <w:bookmarkEnd w:id="119"/>
    </w:p>
    <w:p w14:paraId="665178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我单位全称森布日第二幼儿园，属于全额拨款事业单位，机构共有9个机构分别为、校办、校安办，教务处、思政办、总务处、教研室、电教室、党办、财务室。</w:t>
      </w:r>
    </w:p>
    <w:p w14:paraId="149848AF">
      <w:pPr>
        <w:spacing w:line="578" w:lineRule="exact"/>
        <w:jc w:val="center"/>
        <w:rPr>
          <w:rFonts w:hint="eastAsia" w:ascii="黑体" w:hAnsi="ˎ̥" w:eastAsia="黑体"/>
          <w:sz w:val="32"/>
          <w:szCs w:val="32"/>
        </w:rPr>
      </w:pPr>
      <w:bookmarkStart w:id="19" w:name="_Toc8164_WPSOffice_Level1"/>
      <w:bookmarkStart w:id="20" w:name="_Toc30451_WPSOffice_Level1"/>
      <w:bookmarkStart w:id="21" w:name="_Toc15521_WPSOffice_Level1"/>
      <w:bookmarkStart w:id="22" w:name="_Toc30690_WPSOffice_Level1"/>
      <w:bookmarkStart w:id="23" w:name="_Toc28253_WPSOffice_Level1"/>
      <w:bookmarkStart w:id="24" w:name="_Toc6234_WPSOffice_Level1"/>
      <w:bookmarkStart w:id="25" w:name="_Toc11518_WPSOffice_Level2"/>
      <w:bookmarkStart w:id="26" w:name="_Toc4029_WPSOffice_Level2"/>
      <w:bookmarkStart w:id="27" w:name="_Toc8867_WPSOffice_Level2"/>
      <w:bookmarkStart w:id="28" w:name="_Toc32695_WPSOffice_Level2"/>
      <w:bookmarkStart w:id="29" w:name="_Toc32472_WPSOffice_Level2"/>
      <w:bookmarkStart w:id="30" w:name="_Toc6211_WPSOffice_Level2"/>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sz w:val="32"/>
          <w:szCs w:val="32"/>
        </w:rPr>
      </w:pPr>
      <w:bookmarkStart w:id="31" w:name="_Toc26621_WPSOffice_Level2"/>
      <w:bookmarkStart w:id="32" w:name="_Toc14349_WPSOffice_Level2"/>
      <w:bookmarkStart w:id="33" w:name="_Toc30334_WPSOffice_Level2"/>
      <w:bookmarkStart w:id="34" w:name="_Toc28622_WPSOffice_Level2"/>
      <w:bookmarkStart w:id="35" w:name="_Toc23139_WPSOffice_Level2"/>
      <w:bookmarkStart w:id="36" w:name="_Toc25608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5489_WPSOffice_Level2"/>
      <w:bookmarkStart w:id="38" w:name="_Toc3262_WPSOffice_Level2"/>
      <w:bookmarkStart w:id="39" w:name="_Toc17626_WPSOffice_Level2"/>
      <w:bookmarkStart w:id="40" w:name="_Toc14658_WPSOffice_Level2"/>
      <w:bookmarkStart w:id="41" w:name="_Toc13854_WPSOffice_Level2"/>
      <w:bookmarkStart w:id="42" w:name="_Toc17858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13701_WPSOffice_Level2"/>
      <w:bookmarkStart w:id="44" w:name="_Toc23493_WPSOffice_Level2"/>
      <w:bookmarkStart w:id="45" w:name="_Toc21415_WPSOffice_Level2"/>
      <w:bookmarkStart w:id="46" w:name="_Toc4265_WPSOffice_Level2"/>
      <w:bookmarkStart w:id="47" w:name="_Toc23591_WPSOffice_Level2"/>
      <w:bookmarkStart w:id="48" w:name="_Toc7988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sz w:val="32"/>
          <w:szCs w:val="32"/>
        </w:rPr>
      </w:pPr>
      <w:bookmarkStart w:id="49" w:name="_Toc22783_WPSOffice_Level2"/>
      <w:bookmarkStart w:id="50" w:name="_Toc7879_WPSOffice_Level2"/>
      <w:bookmarkStart w:id="51" w:name="_Toc23829_WPSOffice_Level2"/>
      <w:bookmarkStart w:id="52" w:name="_Toc25166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17833_WPSOffice_Level2"/>
      <w:bookmarkStart w:id="56" w:name="_Toc5343_WPSOffice_Level2"/>
      <w:bookmarkStart w:id="57" w:name="_Toc17283_WPSOffice_Level2"/>
      <w:bookmarkStart w:id="58" w:name="_Toc8373_WPSOffice_Level2"/>
      <w:bookmarkStart w:id="59" w:name="_Toc25362_WPSOffice_Level2"/>
      <w:bookmarkStart w:id="60" w:name="_Toc2632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1" w:name="_Toc11799_WPSOffice_Level2"/>
      <w:bookmarkStart w:id="62" w:name="_Toc6020_WPSOffice_Level2"/>
      <w:bookmarkStart w:id="63" w:name="_Toc13345_WPSOffice_Level2"/>
      <w:bookmarkStart w:id="64" w:name="_Toc5594_WPSOffice_Level2"/>
      <w:bookmarkStart w:id="65" w:name="_Toc1533_WPSOffice_Level2"/>
      <w:bookmarkStart w:id="66" w:name="_Toc21310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7" w:name="_Toc29886_WPSOffice_Level2"/>
      <w:bookmarkStart w:id="68" w:name="_Toc9377_WPSOffice_Level2"/>
      <w:bookmarkStart w:id="69" w:name="_Toc1820_WPSOffice_Level2"/>
      <w:bookmarkStart w:id="70" w:name="_Toc19961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sz w:val="32"/>
          <w:szCs w:val="32"/>
        </w:rPr>
      </w:pPr>
      <w:bookmarkStart w:id="71" w:name="_Toc31264_WPSOffice_Level1"/>
      <w:bookmarkStart w:id="72" w:name="_Toc28629_WPSOffice_Level1"/>
      <w:bookmarkStart w:id="73" w:name="_Toc4402_WPSOffice_Level1"/>
      <w:bookmarkStart w:id="74" w:name="_Toc29683_WPSOffice_Level1"/>
      <w:bookmarkStart w:id="75" w:name="_Toc27590_WPSOffice_Level1"/>
      <w:bookmarkStart w:id="76" w:name="_Toc16686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年度相比，收入、支出总计各增加</w:t>
      </w:r>
      <w:r>
        <w:rPr>
          <w:rFonts w:hint="eastAsia" w:ascii="仿宋_GB2312" w:hAnsi="ˎ̥" w:eastAsia="仿宋_GB2312"/>
          <w:color w:val="FF0000"/>
          <w:sz w:val="32"/>
          <w:szCs w:val="32"/>
          <w:lang w:val="en-US" w:eastAsia="zh-CN"/>
        </w:rPr>
        <w:t>1069.19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1019.93</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2023年我园1至9月属于双湖县教育局管理范畴，所有资金由双湖县教育局统一管理使用，10月开始属于那曲市教育局管理范畴，因此我园只有三个月工资收入年终奖收入</w:t>
      </w:r>
      <w:r>
        <w:rPr>
          <w:rFonts w:hint="eastAsia" w:ascii="仿宋_GB2312" w:hAnsi="ˎ̥" w:eastAsia="仿宋_GB2312"/>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w:t>
      </w:r>
    </w:p>
    <w:p w14:paraId="4D9D176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一般公共预算财政拨款收入：</w:t>
      </w:r>
      <w:r>
        <w:rPr>
          <w:rFonts w:hint="default" w:ascii="仿宋_GB2312" w:hAnsi="ˎ̥" w:eastAsia="仿宋_GB2312"/>
          <w:color w:val="auto"/>
          <w:sz w:val="32"/>
          <w:szCs w:val="32"/>
          <w:lang w:val="en-US"/>
        </w:rPr>
        <w:t>1,174.02</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61AD4F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w:t>
      </w:r>
      <w:r>
        <w:rPr>
          <w:rFonts w:hint="eastAsia" w:ascii="仿宋_GB2312" w:hAnsi="ˎ̥" w:eastAsia="仿宋_GB2312"/>
          <w:sz w:val="32"/>
          <w:szCs w:val="32"/>
        </w:rPr>
        <w:t>年初结转结余</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w:t>
      </w:r>
      <w:r>
        <w:rPr>
          <w:rFonts w:hint="eastAsia" w:ascii="仿宋_GB2312" w:hAnsi="ˎ̥" w:eastAsia="仿宋_GB2312"/>
          <w:sz w:val="32"/>
          <w:szCs w:val="32"/>
          <w:lang w:val="en-US" w:eastAsia="zh-CN"/>
        </w:rPr>
        <w:t>主要包括：</w:t>
      </w:r>
    </w:p>
    <w:p w14:paraId="580941E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教育支出989.19万元。</w:t>
      </w:r>
    </w:p>
    <w:p w14:paraId="7BCB5A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default" w:ascii="仿宋_GB2312" w:hAnsi="ˎ̥" w:eastAsia="仿宋_GB2312"/>
          <w:sz w:val="32"/>
          <w:szCs w:val="32"/>
          <w:lang w:val="en-US" w:eastAsia="zh-CN"/>
        </w:rPr>
        <w:t>社会保障和就业支出82.45</w:t>
      </w:r>
      <w:r>
        <w:rPr>
          <w:rFonts w:hint="eastAsia" w:ascii="仿宋_GB2312" w:hAnsi="ˎ̥" w:eastAsia="仿宋_GB2312"/>
          <w:sz w:val="32"/>
          <w:szCs w:val="32"/>
          <w:lang w:val="en-US" w:eastAsia="zh-CN"/>
        </w:rPr>
        <w:t>万元。</w:t>
      </w:r>
    </w:p>
    <w:p w14:paraId="517B64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default" w:ascii="仿宋_GB2312" w:hAnsi="ˎ̥" w:eastAsia="仿宋_GB2312"/>
          <w:sz w:val="32"/>
          <w:szCs w:val="32"/>
          <w:lang w:val="en-US" w:eastAsia="zh-CN"/>
        </w:rPr>
        <w:t>卫生健康支出42.27</w:t>
      </w:r>
      <w:r>
        <w:rPr>
          <w:rFonts w:hint="eastAsia" w:ascii="仿宋_GB2312" w:hAnsi="ˎ̥" w:eastAsia="仿宋_GB2312"/>
          <w:sz w:val="32"/>
          <w:szCs w:val="32"/>
          <w:lang w:val="en-US" w:eastAsia="zh-CN"/>
        </w:rPr>
        <w:t>万元。</w:t>
      </w:r>
    </w:p>
    <w:p w14:paraId="353820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default" w:ascii="仿宋_GB2312" w:hAnsi="ˎ̥" w:eastAsia="仿宋_GB2312"/>
          <w:sz w:val="32"/>
          <w:szCs w:val="32"/>
          <w:lang w:val="en-US" w:eastAsia="zh-CN"/>
        </w:rPr>
        <w:t>住房保障支出60.11</w:t>
      </w:r>
      <w:r>
        <w:rPr>
          <w:rFonts w:hint="eastAsia" w:ascii="仿宋_GB2312" w:hAnsi="ˎ̥" w:eastAsia="仿宋_GB2312"/>
          <w:sz w:val="32"/>
          <w:szCs w:val="32"/>
          <w:lang w:val="en-US" w:eastAsia="zh-CN"/>
        </w:rPr>
        <w:t>万元。</w:t>
      </w:r>
    </w:p>
    <w:p w14:paraId="3B02073F">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lang w:eastAsia="zh-CN"/>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38872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w:t>
      </w:r>
      <w:r>
        <w:rPr>
          <w:rFonts w:hint="eastAsia" w:ascii="仿宋_GB2312" w:hAnsi="ˎ̥" w:eastAsia="仿宋_GB2312"/>
          <w:color w:val="FF0000"/>
          <w:sz w:val="32"/>
          <w:szCs w:val="32"/>
          <w:lang w:val="en-US" w:eastAsia="zh-CN"/>
        </w:rPr>
        <w:t>1069.19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1019.93</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2023年我园1至9月属于双湖县教育局管理范畴，所有资金由双湖县教育局统一管理使用，10月开始属于那曲市教育局管理范畴，因此我园只有三个月工资收入年终奖收入</w:t>
      </w:r>
      <w:r>
        <w:rPr>
          <w:rFonts w:hint="eastAsia" w:ascii="仿宋_GB2312" w:hAnsi="ˎ̥" w:eastAsia="仿宋_GB2312"/>
          <w:sz w:val="32"/>
          <w:szCs w:val="32"/>
        </w:rPr>
        <w:t>。支出增加</w:t>
      </w:r>
      <w:r>
        <w:rPr>
          <w:rFonts w:hint="eastAsia" w:ascii="仿宋_GB2312" w:hAnsi="ˎ̥" w:eastAsia="仿宋_GB2312"/>
          <w:color w:val="FF0000"/>
          <w:sz w:val="32"/>
          <w:szCs w:val="32"/>
          <w:lang w:val="en-US" w:eastAsia="zh-CN"/>
        </w:rPr>
        <w:t>1069.19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1019.93</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2023年我园1至9月属于双湖县教育局管理范畴，所有资金由双湖县教育局统一管理使用，10月开始属于那曲市教育局管理范畴，因此我园只有三个月工资收入年终奖收入</w:t>
      </w:r>
      <w:r>
        <w:rPr>
          <w:rFonts w:hint="eastAsia" w:ascii="仿宋_GB2312" w:hAnsi="ˎ̥" w:eastAsia="仿宋_GB2312"/>
          <w:sz w:val="32"/>
          <w:szCs w:val="32"/>
        </w:rPr>
        <w:t>；二是</w:t>
      </w:r>
      <w:r>
        <w:rPr>
          <w:rFonts w:hint="eastAsia" w:ascii="仿宋_GB2312" w:hAnsi="ˎ̥" w:eastAsia="仿宋_GB2312"/>
          <w:sz w:val="32"/>
          <w:szCs w:val="32"/>
          <w:lang w:val="en-US" w:eastAsia="zh-CN"/>
        </w:rPr>
        <w:t>2024年新增10名遴选教师支出</w:t>
      </w:r>
      <w:r>
        <w:rPr>
          <w:rFonts w:hint="eastAsia" w:ascii="仿宋_GB2312" w:hAnsi="ˎ̥" w:eastAsia="仿宋_GB2312"/>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19665_WPSOffice_Level2"/>
      <w:bookmarkStart w:id="78" w:name="_Toc21737_WPSOffice_Level2"/>
      <w:bookmarkStart w:id="79" w:name="_Toc13694_WPSOffice_Level2"/>
      <w:bookmarkStart w:id="80" w:name="_Toc23005_WPSOffice_Level2"/>
      <w:bookmarkStart w:id="81" w:name="_Toc9989_WPSOffice_Level2"/>
      <w:bookmarkStart w:id="82" w:name="_Toc17398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color w:val="FF0000"/>
          <w:sz w:val="32"/>
          <w:szCs w:val="32"/>
          <w:lang w:val="en-US" w:eastAsia="zh-CN"/>
        </w:rPr>
        <w:t>1069.19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1019.93</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2023年我园只有10-12月三个月的工资收入及年终奖收入，2024年全年资金落实到学校</w:t>
      </w:r>
      <w:r>
        <w:rPr>
          <w:rFonts w:hint="eastAsia" w:ascii="仿宋_GB2312" w:hAnsi="ˎ̥" w:eastAsia="仿宋_GB2312"/>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27767_WPSOffice_Level2"/>
      <w:bookmarkStart w:id="84" w:name="_Toc19535_WPSOffice_Level2"/>
      <w:bookmarkStart w:id="85" w:name="_Toc23864_WPSOffice_Level2"/>
      <w:bookmarkStart w:id="86" w:name="_Toc19075_WPSOffice_Level2"/>
      <w:bookmarkStart w:id="87" w:name="_Toc2711_WPSOffice_Level2"/>
      <w:bookmarkStart w:id="88" w:name="_Toc18793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989.19</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84.26</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82.45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7.02</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60.11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5.12</w:t>
      </w:r>
      <w:r>
        <w:rPr>
          <w:rFonts w:hint="eastAsia" w:ascii="仿宋_GB2312" w:hAnsi="ˎ̥" w:eastAsia="仿宋_GB2312"/>
          <w:sz w:val="32"/>
          <w:szCs w:val="32"/>
        </w:rPr>
        <w:t>%；</w:t>
      </w:r>
      <w:r>
        <w:rPr>
          <w:rFonts w:hint="default" w:ascii="仿宋_GB2312" w:hAnsi="ˎ̥" w:eastAsia="仿宋_GB2312"/>
          <w:b/>
          <w:bCs/>
          <w:sz w:val="32"/>
          <w:szCs w:val="32"/>
          <w:lang w:val="en-US" w:eastAsia="zh-CN"/>
        </w:rPr>
        <w:t>卫生健康</w:t>
      </w:r>
      <w:r>
        <w:rPr>
          <w:rFonts w:hint="eastAsia" w:ascii="仿宋_GB2312" w:hAnsi="ˎ̥" w:eastAsia="仿宋_GB2312"/>
          <w:b/>
          <w:bCs/>
          <w:sz w:val="32"/>
          <w:szCs w:val="32"/>
        </w:rPr>
        <w:t>（类）</w:t>
      </w:r>
      <w:r>
        <w:rPr>
          <w:rFonts w:hint="eastAsia" w:ascii="仿宋_GB2312" w:hAnsi="ˎ̥" w:eastAsia="仿宋_GB2312"/>
          <w:b w:val="0"/>
          <w:bCs w:val="0"/>
          <w:sz w:val="32"/>
          <w:szCs w:val="32"/>
          <w:lang w:val="en-US" w:eastAsia="zh-CN"/>
        </w:rPr>
        <w:t>支出</w:t>
      </w:r>
      <w:r>
        <w:rPr>
          <w:rFonts w:hint="eastAsia" w:ascii="仿宋_GB2312" w:hAnsi="ˎ̥" w:eastAsia="仿宋_GB2312"/>
          <w:color w:val="FF0000"/>
          <w:sz w:val="32"/>
          <w:szCs w:val="32"/>
          <w:lang w:val="en-US" w:eastAsia="zh-CN"/>
        </w:rPr>
        <w:t>42.27</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3.6</w:t>
      </w:r>
      <w:r>
        <w:rPr>
          <w:rFonts w:hint="eastAsia" w:ascii="仿宋_GB2312" w:hAnsi="ˎ̥" w:eastAsia="仿宋_GB2312"/>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1701_WPSOffice_Level2"/>
      <w:bookmarkStart w:id="90" w:name="_Toc22318_WPSOffice_Level2"/>
      <w:bookmarkStart w:id="91" w:name="_Toc29364_WPSOffice_Level2"/>
      <w:bookmarkStart w:id="92" w:name="_Toc9502_WPSOffice_Level2"/>
      <w:bookmarkStart w:id="93" w:name="_Toc15415_WPSOffice_Level2"/>
      <w:bookmarkStart w:id="94" w:name="_Toc25136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14:paraId="417CBB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14:paraId="3CA8F8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1,174.02</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1,174.02</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1,005.01</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169.01</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6C24DF0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188EEF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无</w:t>
      </w:r>
      <w:r>
        <w:rPr>
          <w:rFonts w:hint="eastAsia" w:ascii="仿宋_GB2312" w:hAnsi="ˎ̥" w:eastAsia="仿宋_GB2312"/>
          <w:sz w:val="32"/>
          <w:szCs w:val="32"/>
        </w:rPr>
        <w:t>政府性基金预算财政拨款支出</w:t>
      </w:r>
      <w:r>
        <w:rPr>
          <w:rFonts w:hint="eastAsia" w:ascii="仿宋_GB2312" w:hAnsi="ˎ̥" w:eastAsia="仿宋_GB2312"/>
          <w:sz w:val="32"/>
          <w:szCs w:val="32"/>
          <w:lang w:eastAsia="zh-CN"/>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无</w:t>
      </w:r>
      <w:r>
        <w:rPr>
          <w:rFonts w:hint="eastAsia" w:ascii="仿宋_GB2312" w:hAnsi="ˎ̥" w:eastAsia="仿宋_GB2312"/>
          <w:sz w:val="32"/>
          <w:szCs w:val="32"/>
        </w:rPr>
        <w:t>政府性基金预算财政拨款支出</w:t>
      </w:r>
      <w:r>
        <w:rPr>
          <w:rFonts w:hint="eastAsia" w:ascii="仿宋_GB2312" w:hAnsi="ˎ̥" w:eastAsia="仿宋_GB2312"/>
          <w:sz w:val="32"/>
          <w:szCs w:val="32"/>
          <w:lang w:eastAsia="zh-CN"/>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535102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无</w:t>
      </w:r>
      <w:r>
        <w:rPr>
          <w:rFonts w:hint="eastAsia" w:ascii="仿宋_GB2312" w:hAnsi="ˎ̥" w:eastAsia="仿宋_GB2312"/>
          <w:sz w:val="32"/>
          <w:szCs w:val="32"/>
        </w:rPr>
        <w:t>政府性基金预算财政拨款支出</w:t>
      </w:r>
      <w:r>
        <w:rPr>
          <w:rFonts w:hint="eastAsia" w:ascii="仿宋_GB2312" w:hAnsi="ˎ̥" w:eastAsia="仿宋_GB2312"/>
          <w:sz w:val="32"/>
          <w:szCs w:val="32"/>
          <w:lang w:eastAsia="zh-CN"/>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2204722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无</w:t>
      </w:r>
      <w:r>
        <w:rPr>
          <w:rFonts w:hint="eastAsia" w:ascii="仿宋_GB2312" w:hAnsi="ˎ̥" w:eastAsia="仿宋_GB2312"/>
          <w:sz w:val="32"/>
          <w:szCs w:val="32"/>
        </w:rPr>
        <w:t>国有资本经营预算财政拨款支出</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52F867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无</w:t>
      </w:r>
      <w:r>
        <w:rPr>
          <w:rFonts w:hint="eastAsia" w:ascii="仿宋_GB2312" w:hAnsi="ˎ̥" w:eastAsia="仿宋_GB2312"/>
          <w:sz w:val="32"/>
          <w:szCs w:val="32"/>
        </w:rPr>
        <w:t>国有资本经营预算财政拨款支出</w:t>
      </w:r>
      <w:r>
        <w:rPr>
          <w:rFonts w:hint="eastAsia" w:ascii="仿宋_GB2312" w:hAnsi="ˎ̥" w:eastAsia="仿宋_GB2312"/>
          <w:sz w:val="32"/>
          <w:szCs w:val="32"/>
          <w:lang w:eastAsia="zh-CN"/>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2A2F45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无</w:t>
      </w:r>
      <w:r>
        <w:rPr>
          <w:rFonts w:hint="eastAsia" w:ascii="仿宋_GB2312" w:hAnsi="ˎ̥" w:eastAsia="仿宋_GB2312"/>
          <w:sz w:val="32"/>
          <w:szCs w:val="32"/>
        </w:rPr>
        <w:t>财政拨款“三公”经费支出</w:t>
      </w:r>
      <w:r>
        <w:rPr>
          <w:rFonts w:hint="eastAsia" w:ascii="仿宋_GB2312" w:hAnsi="ˎ̥" w:eastAsia="仿宋_GB2312"/>
          <w:sz w:val="32"/>
          <w:szCs w:val="32"/>
          <w:lang w:eastAsia="zh-CN"/>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63E77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default" w:ascii="仿宋_GB2312" w:hAnsi="ˎ̥" w:eastAsia="仿宋_GB2312"/>
          <w:color w:val="FF0000"/>
          <w:sz w:val="32"/>
          <w:szCs w:val="32"/>
          <w:lang w:val="en-US"/>
        </w:rPr>
        <w:t>1,174.02</w:t>
      </w:r>
      <w:r>
        <w:rPr>
          <w:rFonts w:hint="eastAsia" w:ascii="仿宋_GB2312" w:eastAsia="仿宋_GB2312"/>
          <w:sz w:val="32"/>
          <w:szCs w:val="32"/>
          <w:lang w:val="en-US" w:eastAsia="zh-CN"/>
        </w:rPr>
        <w:t>万元，占一般公共预算项目支出总额的</w:t>
      </w:r>
      <w:r>
        <w:rPr>
          <w:rFonts w:hint="eastAsia" w:ascii="仿宋_GB2312" w:eastAsia="仿宋_GB2312"/>
          <w:color w:val="FF0000"/>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rPr>
        <w:t>。</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5978_WPSOffice_Level2"/>
      <w:bookmarkStart w:id="96" w:name="_Toc32639_WPSOffice_Level2"/>
      <w:bookmarkStart w:id="97" w:name="_Toc18325_WPSOffice_Level2"/>
      <w:bookmarkStart w:id="98" w:name="_Toc15565_WPSOffice_Level2"/>
      <w:bookmarkStart w:id="99" w:name="_Toc15262_WPSOffice_Level2"/>
      <w:bookmarkStart w:id="100" w:name="_Toc23598_WPSOffice_Level2"/>
      <w:r>
        <w:rPr>
          <w:rFonts w:hint="eastAsia" w:ascii="楷体" w:hAnsi="楷体" w:eastAsia="楷体" w:cs="楷体"/>
          <w:bCs/>
          <w:sz w:val="32"/>
          <w:szCs w:val="32"/>
        </w:rPr>
        <w:t>（一）</w:t>
      </w:r>
      <w:r>
        <w:rPr>
          <w:rFonts w:hint="eastAsia" w:ascii="楷体" w:hAnsi="楷体" w:eastAsia="楷体" w:cs="楷体"/>
          <w:bCs/>
          <w:sz w:val="32"/>
          <w:szCs w:val="32"/>
          <w:lang w:val="en-US" w:eastAsia="zh-CN"/>
        </w:rPr>
        <w:t>无</w:t>
      </w:r>
      <w:r>
        <w:rPr>
          <w:rFonts w:hint="eastAsia" w:ascii="楷体" w:hAnsi="楷体" w:eastAsia="楷体" w:cs="楷体"/>
          <w:bCs/>
          <w:sz w:val="32"/>
          <w:szCs w:val="32"/>
        </w:rPr>
        <w:t>机关运行经费支出情况</w:t>
      </w:r>
      <w:bookmarkEnd w:id="95"/>
      <w:bookmarkEnd w:id="96"/>
      <w:bookmarkEnd w:id="97"/>
      <w:bookmarkEnd w:id="98"/>
      <w:bookmarkEnd w:id="99"/>
      <w:bookmarkEnd w:id="100"/>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30383_WPSOffice_Level2"/>
      <w:bookmarkStart w:id="102" w:name="_Toc25333_WPSOffice_Level2"/>
      <w:bookmarkStart w:id="103" w:name="_Toc3131_WPSOffice_Level2"/>
      <w:bookmarkStart w:id="104" w:name="_Toc13084_WPSOffice_Level2"/>
      <w:bookmarkStart w:id="105" w:name="_Toc32689_WPSOffice_Level2"/>
      <w:bookmarkStart w:id="106" w:name="_Toc23966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森布日第二幼儿园</w:t>
      </w:r>
      <w:r>
        <w:rPr>
          <w:rFonts w:hint="eastAsia" w:ascii="仿宋_GB2312" w:hAnsi="ˎ̥" w:eastAsia="仿宋_GB2312"/>
          <w:sz w:val="32"/>
          <w:szCs w:val="32"/>
        </w:rPr>
        <w:t>部门（单位）政府采购支出总额</w:t>
      </w:r>
      <w:r>
        <w:rPr>
          <w:rFonts w:hint="eastAsia" w:ascii="仿宋_GB2312" w:hAnsi="ˎ̥" w:eastAsia="仿宋_GB2312"/>
          <w:color w:val="FF0000"/>
          <w:sz w:val="32"/>
          <w:szCs w:val="32"/>
          <w:lang w:val="en-US" w:eastAsia="zh-CN"/>
        </w:rPr>
        <w:t>200.92</w:t>
      </w:r>
      <w:r>
        <w:rPr>
          <w:rFonts w:hint="eastAsia" w:ascii="仿宋_GB2312" w:hAnsi="ˎ̥" w:eastAsia="仿宋_GB2312"/>
          <w:sz w:val="32"/>
          <w:szCs w:val="32"/>
        </w:rPr>
        <w:t>万元，其中：政府采购</w:t>
      </w:r>
      <w:r>
        <w:rPr>
          <w:rFonts w:hint="eastAsia" w:ascii="仿宋_GB2312" w:hAnsi="ˎ̥" w:eastAsia="仿宋_GB2312"/>
          <w:sz w:val="32"/>
          <w:szCs w:val="32"/>
          <w:lang w:val="en-US" w:eastAsia="zh-CN"/>
        </w:rPr>
        <w:t>物资</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200.92</w:t>
      </w:r>
      <w:r>
        <w:rPr>
          <w:rFonts w:hint="eastAsia" w:ascii="仿宋_GB2312" w:hAnsi="ˎ̥" w:eastAsia="仿宋_GB2312"/>
          <w:sz w:val="32"/>
          <w:szCs w:val="32"/>
        </w:rPr>
        <w:t>万元</w:t>
      </w:r>
    </w:p>
    <w:p w14:paraId="5D7FFA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上述政府采购支出相关</w:t>
      </w:r>
      <w:r>
        <w:rPr>
          <w:rFonts w:hint="eastAsia" w:ascii="仿宋_GB2312" w:hAnsi="ˎ̥" w:eastAsia="仿宋_GB2312"/>
          <w:sz w:val="32"/>
          <w:szCs w:val="32"/>
          <w:lang w:val="en-US" w:eastAsia="zh-CN"/>
        </w:rPr>
        <w:t>数据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年度部门决算报表F03表《机构运行信息表》，授予中小企业和小微企业合同金额由各部门查阅本部门相关资料填写。）</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9989_WPSOffice_Level2"/>
      <w:bookmarkStart w:id="108" w:name="_Toc6016_WPSOffice_Level2"/>
      <w:bookmarkStart w:id="109" w:name="_Toc10902_WPSOffice_Level2"/>
      <w:bookmarkStart w:id="110" w:name="_Toc29584_WPSOffice_Level2"/>
      <w:bookmarkStart w:id="111" w:name="_Toc527_WPSOffice_Level2"/>
      <w:bookmarkStart w:id="112" w:name="_Toc15129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 w:hAnsi="仿宋" w:eastAsia="仿宋"/>
          <w:color w:val="FF0000"/>
          <w:sz w:val="28"/>
          <w:szCs w:val="28"/>
          <w:lang w:val="en-US" w:eastAsia="zh-CN"/>
        </w:rPr>
        <w:t>4732.83</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辆，其中其他用车</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辆，其他用车主要是</w:t>
      </w:r>
      <w:r>
        <w:rPr>
          <w:rFonts w:hint="eastAsia" w:ascii="仿宋_GB2312" w:hAnsi="ˎ̥" w:eastAsia="仿宋_GB2312"/>
          <w:sz w:val="32"/>
          <w:szCs w:val="32"/>
          <w:lang w:val="en-US" w:eastAsia="zh-CN"/>
        </w:rPr>
        <w:t>学生接送车</w:t>
      </w:r>
      <w:r>
        <w:rPr>
          <w:rFonts w:hint="eastAsia" w:ascii="仿宋_GB2312" w:hAnsi="ˎ̥" w:eastAsia="仿宋_GB2312"/>
          <w:sz w:val="32"/>
          <w:szCs w:val="32"/>
        </w:rPr>
        <w:t>。</w:t>
      </w:r>
      <w:r>
        <w:rPr>
          <w:rFonts w:hint="eastAsia" w:ascii="仿宋_GB2312" w:hAnsi="ˎ̥" w:eastAsia="仿宋_GB2312"/>
          <w:sz w:val="32"/>
          <w:szCs w:val="32"/>
          <w:lang w:val="en-US" w:eastAsia="zh-CN"/>
        </w:rPr>
        <w:t xml:space="preserve">     </w:t>
      </w:r>
    </w:p>
    <w:p w14:paraId="378F91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单价100万元（含）以上设备（不含车辆）</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台（套）。</w:t>
      </w:r>
    </w:p>
    <w:p w14:paraId="0B1A3A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w:t>
      </w:r>
      <w:r>
        <w:rPr>
          <w:rFonts w:hint="eastAsia" w:ascii="仿宋_GB2312" w:hAnsi="ˎ̥" w:eastAsia="仿宋_GB2312"/>
          <w:sz w:val="32"/>
          <w:szCs w:val="32"/>
          <w:lang w:val="en-US" w:eastAsia="zh-CN"/>
        </w:rPr>
        <w:t>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年度部门决算F0</w:t>
      </w:r>
      <w:r>
        <w:rPr>
          <w:rFonts w:hint="default" w:ascii="仿宋_GB2312" w:hAnsi="ˎ̥" w:eastAsia="仿宋_GB2312"/>
          <w:sz w:val="32"/>
          <w:szCs w:val="32"/>
          <w:lang w:val="en-US"/>
        </w:rPr>
        <w:t>2</w:t>
      </w:r>
      <w:r>
        <w:rPr>
          <w:rFonts w:hint="eastAsia" w:ascii="仿宋_GB2312" w:hAnsi="ˎ̥" w:eastAsia="仿宋_GB2312"/>
          <w:sz w:val="32"/>
          <w:szCs w:val="32"/>
        </w:rPr>
        <w:t>表《预算支出相关信息表》、F03表《机构运行信息表》。）</w:t>
      </w:r>
    </w:p>
    <w:p w14:paraId="20F5AB1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8808_WPSOffice_Level1"/>
      <w:bookmarkStart w:id="114" w:name="_Toc15425_WPSOffice_Level1"/>
      <w:bookmarkStart w:id="115" w:name="_Toc11039_WPSOffice_Level1"/>
      <w:bookmarkStart w:id="116" w:name="_Toc4398_WPSOffice_Level1"/>
      <w:bookmarkStart w:id="117" w:name="_Toc8874_WPSOffice_Level1"/>
      <w:bookmarkStart w:id="118" w:name="_Toc17580_WPSOffice_Level1"/>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36F98C7"/>
    <w:rsid w:val="17427E68"/>
    <w:rsid w:val="1755065F"/>
    <w:rsid w:val="1AFC29C9"/>
    <w:rsid w:val="1CA52F2E"/>
    <w:rsid w:val="1DFE370B"/>
    <w:rsid w:val="1E3630B9"/>
    <w:rsid w:val="26EEC2B5"/>
    <w:rsid w:val="29472309"/>
    <w:rsid w:val="2B406E77"/>
    <w:rsid w:val="2C2A0C43"/>
    <w:rsid w:val="2D1E73A5"/>
    <w:rsid w:val="32717154"/>
    <w:rsid w:val="34B63260"/>
    <w:rsid w:val="37FDA7E2"/>
    <w:rsid w:val="3A314D88"/>
    <w:rsid w:val="3A746883"/>
    <w:rsid w:val="3CA15DE9"/>
    <w:rsid w:val="3FB908FA"/>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7148</Words>
  <Characters>8064</Characters>
  <Lines>67</Lines>
  <Paragraphs>18</Paragraphs>
  <TotalTime>5</TotalTime>
  <ScaleCrop>false</ScaleCrop>
  <LinksUpToDate>false</LinksUpToDate>
  <CharactersWithSpaces>8150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འབྲོག་གི་བུ་མོ།</cp:lastModifiedBy>
  <cp:lastPrinted>2023-08-03T00:58:00Z</cp:lastPrinted>
  <dcterms:modified xsi:type="dcterms:W3CDTF">2025-09-01T09:24:33Z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0D80437AEAC84966A42D21EAF0C628F9_13</vt:lpwstr>
  </property>
  <property fmtid="{D5CDD505-2E9C-101B-9397-08002B2CF9AE}" pid="4" name="KSOTemplateDocerSaveRecord">
    <vt:lpwstr>eyJoZGlkIjoiNGJiNTAwYTE4ZDNiY2U3ZmE1NjRmZThiMmRkMWY0Y2QiLCJ1c2VySWQiOiIzNzcwMTk3NTEifQ==</vt:lpwstr>
  </property>
</Properties>
</file>