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color w:val="auto"/>
          <w:sz w:val="72"/>
          <w:szCs w:val="72"/>
        </w:rPr>
      </w:pPr>
    </w:p>
    <w:p>
      <w:pPr>
        <w:jc w:val="center"/>
        <w:rPr>
          <w:rFonts w:hint="eastAsia" w:ascii="宋体" w:hAnsi="宋体" w:cs="宋体"/>
          <w:b/>
          <w:color w:val="auto"/>
          <w:sz w:val="72"/>
          <w:szCs w:val="72"/>
        </w:rPr>
      </w:pP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lang w:eastAsia="zh-CN"/>
        </w:rPr>
        <w:t>那曲市电影公共服务中心202</w:t>
      </w:r>
      <w:r>
        <w:rPr>
          <w:rFonts w:hint="eastAsia" w:ascii="方正小标宋简体" w:hAnsi="方正小标宋简体" w:eastAsia="方正小标宋简体" w:cs="方正小标宋简体"/>
          <w:b w:val="0"/>
          <w:bCs/>
          <w:color w:val="auto"/>
          <w:sz w:val="52"/>
          <w:szCs w:val="52"/>
          <w:lang w:val="en-US" w:eastAsia="zh-CN"/>
        </w:rPr>
        <w:t>4</w:t>
      </w:r>
      <w:r>
        <w:rPr>
          <w:rFonts w:hint="eastAsia" w:ascii="方正小标宋简体" w:hAnsi="方正小标宋简体" w:eastAsia="方正小标宋简体" w:cs="方正小标宋简体"/>
          <w:b w:val="0"/>
          <w:bCs/>
          <w:color w:val="auto"/>
          <w:sz w:val="52"/>
          <w:szCs w:val="52"/>
        </w:rPr>
        <w:t>年度</w:t>
      </w:r>
    </w:p>
    <w:p>
      <w:pPr>
        <w:jc w:val="center"/>
        <w:rPr>
          <w:rFonts w:hint="eastAsia" w:ascii="方正小标宋简体" w:hAnsi="方正小标宋简体" w:eastAsia="方正小标宋简体" w:cs="方正小标宋简体"/>
          <w:b w:val="0"/>
          <w:bCs/>
          <w:color w:val="auto"/>
          <w:sz w:val="52"/>
          <w:szCs w:val="52"/>
        </w:rPr>
      </w:pPr>
    </w:p>
    <w:p>
      <w:pPr>
        <w:jc w:val="center"/>
        <w:rPr>
          <w:rFonts w:hint="eastAsia" w:ascii="方正小标宋简体" w:hAnsi="方正小标宋简体" w:eastAsia="方正小标宋简体" w:cs="方正小标宋简体"/>
          <w:b w:val="0"/>
          <w:bCs/>
          <w:color w:val="auto"/>
          <w:sz w:val="72"/>
          <w:szCs w:val="72"/>
        </w:rPr>
      </w:pPr>
      <w:r>
        <w:rPr>
          <w:rFonts w:hint="eastAsia" w:ascii="方正小标宋简体" w:hAnsi="方正小标宋简体" w:eastAsia="方正小标宋简体" w:cs="方正小标宋简体"/>
          <w:b w:val="0"/>
          <w:bCs/>
          <w:color w:val="auto"/>
          <w:sz w:val="72"/>
          <w:szCs w:val="72"/>
        </w:rPr>
        <w:t>部门决算公开</w:t>
      </w:r>
    </w:p>
    <w:p>
      <w:pPr>
        <w:jc w:val="center"/>
        <w:rPr>
          <w:rFonts w:hint="eastAsia" w:ascii="方正小标宋简体" w:hAnsi="方正小标宋简体" w:eastAsia="方正小标宋简体" w:cs="方正小标宋简体"/>
          <w:b w:val="0"/>
          <w:bCs/>
          <w:color w:val="auto"/>
          <w:sz w:val="52"/>
          <w:szCs w:val="52"/>
        </w:rPr>
      </w:pPr>
      <w:bookmarkStart w:id="121" w:name="_GoBack"/>
      <w:bookmarkEnd w:id="121"/>
    </w:p>
    <w:p>
      <w:pPr>
        <w:jc w:val="center"/>
        <w:rPr>
          <w:rFonts w:hint="eastAsia" w:ascii="方正小标宋简体" w:hAnsi="方正小标宋简体" w:eastAsia="方正小标宋简体" w:cs="方正小标宋简体"/>
          <w:b w:val="0"/>
          <w:bCs/>
          <w:color w:val="auto"/>
          <w:sz w:val="52"/>
          <w:szCs w:val="52"/>
        </w:rPr>
      </w:pPr>
    </w:p>
    <w:p>
      <w:pPr>
        <w:jc w:val="center"/>
        <w:rPr>
          <w:rFonts w:hint="eastAsia" w:ascii="方正小标宋简体" w:hAnsi="方正小标宋简体" w:eastAsia="方正小标宋简体" w:cs="方正小标宋简体"/>
          <w:b w:val="0"/>
          <w:bCs/>
          <w:color w:val="auto"/>
          <w:sz w:val="52"/>
          <w:szCs w:val="52"/>
        </w:rPr>
      </w:pPr>
    </w:p>
    <w:p>
      <w:pPr>
        <w:jc w:val="center"/>
        <w:rPr>
          <w:rFonts w:hint="eastAsia" w:ascii="方正小标宋简体" w:hAnsi="方正小标宋简体" w:eastAsia="方正小标宋简体" w:cs="方正小标宋简体"/>
          <w:b w:val="0"/>
          <w:bCs/>
          <w:color w:val="auto"/>
          <w:sz w:val="52"/>
          <w:szCs w:val="52"/>
        </w:rPr>
      </w:pPr>
    </w:p>
    <w:p>
      <w:pPr>
        <w:jc w:val="center"/>
        <w:rPr>
          <w:rFonts w:hint="eastAsia" w:ascii="宋体" w:hAnsi="宋体" w:cs="宋体"/>
          <w:b/>
          <w:color w:val="auto"/>
          <w:sz w:val="52"/>
          <w:szCs w:val="52"/>
        </w:rPr>
      </w:pPr>
    </w:p>
    <w:p>
      <w:pPr>
        <w:jc w:val="center"/>
        <w:rPr>
          <w:rFonts w:hint="eastAsia" w:ascii="宋体" w:hAnsi="宋体" w:cs="宋体"/>
          <w:b/>
          <w:color w:val="auto"/>
          <w:sz w:val="52"/>
          <w:szCs w:val="52"/>
        </w:rPr>
      </w:pPr>
    </w:p>
    <w:p>
      <w:pPr>
        <w:jc w:val="center"/>
        <w:rPr>
          <w:rFonts w:hint="eastAsia" w:ascii="宋体" w:hAnsi="宋体" w:cs="宋体"/>
          <w:b/>
          <w:color w:val="auto"/>
          <w:sz w:val="52"/>
          <w:szCs w:val="52"/>
        </w:rPr>
      </w:pPr>
    </w:p>
    <w:p>
      <w:pPr>
        <w:jc w:val="center"/>
        <w:rPr>
          <w:rFonts w:hint="eastAsia" w:ascii="宋体" w:hAnsi="宋体" w:cs="宋体"/>
          <w:b/>
          <w:color w:val="auto"/>
          <w:sz w:val="32"/>
          <w:szCs w:val="32"/>
        </w:rPr>
      </w:pPr>
      <w:r>
        <w:rPr>
          <w:rFonts w:hint="eastAsia" w:ascii="宋体" w:hAnsi="宋体" w:cs="宋体"/>
          <w:b/>
          <w:color w:val="auto"/>
          <w:sz w:val="32"/>
          <w:szCs w:val="32"/>
        </w:rPr>
        <w:t>20</w:t>
      </w:r>
      <w:r>
        <w:rPr>
          <w:rFonts w:hint="eastAsia" w:ascii="宋体" w:hAnsi="宋体" w:cs="宋体"/>
          <w:b/>
          <w:color w:val="auto"/>
          <w:sz w:val="32"/>
          <w:szCs w:val="32"/>
          <w:lang w:val="en-US" w:eastAsia="zh-CN"/>
        </w:rPr>
        <w:t>25</w:t>
      </w:r>
      <w:r>
        <w:rPr>
          <w:rFonts w:hint="eastAsia" w:ascii="宋体" w:hAnsi="宋体" w:cs="宋体"/>
          <w:b/>
          <w:color w:val="auto"/>
          <w:sz w:val="32"/>
          <w:szCs w:val="32"/>
        </w:rPr>
        <w:t>年</w:t>
      </w:r>
      <w:r>
        <w:rPr>
          <w:rFonts w:hint="eastAsia" w:ascii="宋体" w:hAnsi="宋体" w:cs="宋体"/>
          <w:b/>
          <w:color w:val="auto"/>
          <w:sz w:val="32"/>
          <w:szCs w:val="32"/>
          <w:lang w:val="en-US" w:eastAsia="zh-CN"/>
        </w:rPr>
        <w:t>9</w:t>
      </w:r>
      <w:r>
        <w:rPr>
          <w:rFonts w:hint="eastAsia" w:ascii="宋体" w:hAnsi="宋体" w:cs="宋体"/>
          <w:b/>
          <w:color w:val="auto"/>
          <w:sz w:val="32"/>
          <w:szCs w:val="32"/>
        </w:rPr>
        <w:t>月</w:t>
      </w:r>
      <w:r>
        <w:rPr>
          <w:rFonts w:hint="eastAsia" w:ascii="宋体" w:hAnsi="宋体" w:cs="宋体"/>
          <w:b/>
          <w:color w:val="auto"/>
          <w:sz w:val="32"/>
          <w:szCs w:val="32"/>
          <w:lang w:val="en-US" w:eastAsia="zh-CN"/>
        </w:rPr>
        <w:t>15</w:t>
      </w:r>
      <w:r>
        <w:rPr>
          <w:rFonts w:hint="eastAsia" w:ascii="宋体" w:hAnsi="宋体" w:cs="宋体"/>
          <w:b/>
          <w:color w:val="auto"/>
          <w:sz w:val="32"/>
          <w:szCs w:val="32"/>
        </w:rPr>
        <w:t>日</w:t>
      </w:r>
    </w:p>
    <w:p>
      <w:pPr>
        <w:jc w:val="center"/>
        <w:rPr>
          <w:rFonts w:hint="eastAsia" w:ascii="宋体" w:hAnsi="宋体" w:cs="宋体"/>
          <w:b/>
          <w:color w:val="auto"/>
          <w:sz w:val="32"/>
          <w:szCs w:val="32"/>
        </w:rPr>
      </w:pPr>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那曲市电影发行放映管理中心机关2024年度部门决算公开报告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6"/>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7"/>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7"/>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7"/>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6"/>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23465_WPSOffice_Level1"/>
      <w:bookmarkStart w:id="3" w:name="_Toc10720_WPSOffice_Level1"/>
      <w:bookmarkStart w:id="4" w:name="_Toc10049_WPSOffice_Level1"/>
      <w:bookmarkStart w:id="5" w:name="_Toc22941_WPSOffice_Level1"/>
      <w:bookmarkStart w:id="6" w:name="_Toc32433_WPSOffice_Level1"/>
      <w:bookmarkStart w:id="7" w:name="_Toc1704_WPSOffice_Level1"/>
      <w:bookmarkStart w:id="8" w:name="_Toc24238_WPSOffice_Level2"/>
      <w:bookmarkStart w:id="9" w:name="_Toc14159_WPSOffice_Level2"/>
      <w:bookmarkStart w:id="10" w:name="_Toc20274_WPSOffice_Level2"/>
      <w:bookmarkStart w:id="11" w:name="_Toc32622_WPSOffice_Level2"/>
      <w:bookmarkStart w:id="12" w:name="_Toc20205_WPSOffice_Level2"/>
      <w:bookmarkStart w:id="13" w:name="_Toc26580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color w:val="auto"/>
          <w:sz w:val="32"/>
          <w:szCs w:val="32"/>
        </w:rPr>
      </w:pP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（那财科教〔202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5号）关于批复那曲市电影公共服务中心</w:t>
      </w:r>
      <w:r>
        <w:rPr>
          <w:rFonts w:hint="eastAsia" w:ascii="仿宋" w:hAnsi="仿宋" w:eastAsia="仿宋" w:cs="仿宋"/>
          <w:color w:val="auto"/>
          <w:sz w:val="32"/>
          <w:szCs w:val="32"/>
          <w:lang w:val="en-US" w:eastAsia="zh-CN"/>
        </w:rPr>
        <w:t>2024年部门决算的通知</w:t>
      </w:r>
      <w:r>
        <w:rPr>
          <w:rFonts w:hint="eastAsia" w:ascii="仿宋" w:hAnsi="仿宋" w:eastAsia="仿宋" w:cs="仿宋"/>
          <w:color w:val="auto"/>
          <w:sz w:val="32"/>
          <w:szCs w:val="32"/>
        </w:rPr>
        <w:t>要求，现将本单位20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年部门决算公开说明如下：</w:t>
      </w:r>
      <w:r>
        <w:rPr>
          <w:rFonts w:hint="default" w:ascii="Times New Roman" w:hAnsi="Times New Roman" w:eastAsia="方正仿宋简体" w:cs="Times New Roman"/>
          <w:color w:val="auto"/>
          <w:sz w:val="32"/>
          <w:szCs w:val="32"/>
        </w:rPr>
        <w:t xml:space="preserve"> </w:t>
      </w: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负责市数字影院的管理工作。组织实施全市公益电影主题放映活动。组织推进电影进社区、校园、寺庙、部队、企业等工作。负责电影放映技术引进和已发行电影的拷贝、放映等工作。负责管理电影档案保管资料影片。指导县（区）数字影院和农村数字电影室内放映室标准化建设。负责全市农村数字电影节目的接收、订购、下载，保障片源充足。负责提供农村数字电影流动放映技术服务以及放映设备升级更新等工作。组织开展基层电影放映员专业技术培训。承办</w:t>
      </w:r>
      <w:r>
        <w:rPr>
          <w:rFonts w:hint="default" w:ascii="Times New Roman" w:hAnsi="Times New Roman" w:eastAsia="方正仿宋简体" w:cs="Times New Roman"/>
          <w:color w:val="auto"/>
          <w:sz w:val="32"/>
          <w:szCs w:val="32"/>
          <w:lang w:eastAsia="zh-CN"/>
        </w:rPr>
        <w:t>市委宣传部</w:t>
      </w:r>
      <w:r>
        <w:rPr>
          <w:rFonts w:hint="default" w:ascii="Times New Roman" w:hAnsi="Times New Roman" w:eastAsia="方正仿宋简体" w:cs="Times New Roman"/>
          <w:color w:val="auto"/>
          <w:sz w:val="32"/>
          <w:szCs w:val="32"/>
        </w:rPr>
        <w:t>交办的其他事项。</w:t>
      </w:r>
    </w:p>
    <w:p>
      <w:pPr>
        <w:spacing w:line="578" w:lineRule="exact"/>
        <w:ind w:firstLine="640" w:firstLineChars="200"/>
        <w:rPr>
          <w:rFonts w:hint="eastAsia" w:ascii="黑体" w:hAnsi="黑体" w:eastAsia="黑体" w:cs="黑体"/>
          <w:color w:val="auto"/>
          <w:sz w:val="32"/>
          <w:szCs w:val="32"/>
        </w:rPr>
      </w:pPr>
      <w:bookmarkStart w:id="14" w:name="_Toc6572_WPSOffice_Level2"/>
      <w:bookmarkStart w:id="15" w:name="_Toc24059_WPSOffice_Level2"/>
      <w:bookmarkStart w:id="16" w:name="_Toc4833_WPSOffice_Level2"/>
      <w:bookmarkStart w:id="17" w:name="_Toc24474_WPSOffice_Level2"/>
      <w:bookmarkStart w:id="18" w:name="_Toc17796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52" w:lineRule="exact"/>
        <w:ind w:firstLine="640" w:firstLineChars="200"/>
        <w:rPr>
          <w:rFonts w:hint="default" w:ascii="Times New Roman" w:hAnsi="Times New Roman" w:eastAsia="方正仿宋简体" w:cs="Times New Roman"/>
          <w:color w:val="auto"/>
          <w:sz w:val="32"/>
          <w:szCs w:val="32"/>
        </w:rPr>
      </w:pPr>
      <w:bookmarkStart w:id="19" w:name="_Toc24421_WPSOffice_Level2"/>
      <w:bookmarkStart w:id="20" w:name="_Toc25738_WPSOffice_Level2"/>
      <w:r>
        <w:rPr>
          <w:rFonts w:hint="default" w:ascii="Times New Roman" w:hAnsi="Times New Roman" w:eastAsia="方正仿宋简体" w:cs="Times New Roman"/>
          <w:color w:val="auto"/>
          <w:sz w:val="32"/>
          <w:szCs w:val="32"/>
        </w:rPr>
        <w:t>我</w:t>
      </w:r>
      <w:r>
        <w:rPr>
          <w:rFonts w:hint="default" w:ascii="Times New Roman" w:hAnsi="Times New Roman" w:eastAsia="方正仿宋简体" w:cs="Times New Roman"/>
          <w:color w:val="auto"/>
          <w:sz w:val="32"/>
          <w:szCs w:val="32"/>
          <w:lang w:eastAsia="zh-CN"/>
        </w:rPr>
        <w:t>单位</w:t>
      </w:r>
      <w:r>
        <w:rPr>
          <w:rFonts w:hint="default" w:ascii="Times New Roman" w:hAnsi="Times New Roman" w:eastAsia="方正仿宋简体" w:cs="Times New Roman"/>
          <w:color w:val="auto"/>
          <w:sz w:val="32"/>
          <w:szCs w:val="32"/>
        </w:rPr>
        <w:t>属于</w:t>
      </w:r>
      <w:r>
        <w:rPr>
          <w:rFonts w:hint="default" w:ascii="Times New Roman" w:hAnsi="Times New Roman" w:eastAsia="方正仿宋简体" w:cs="Times New Roman"/>
          <w:color w:val="auto"/>
          <w:sz w:val="32"/>
          <w:szCs w:val="32"/>
          <w:lang w:eastAsia="zh-CN"/>
        </w:rPr>
        <w:t>差</w:t>
      </w:r>
      <w:r>
        <w:rPr>
          <w:rFonts w:hint="default" w:ascii="Times New Roman" w:hAnsi="Times New Roman" w:eastAsia="方正仿宋简体" w:cs="Times New Roman"/>
          <w:color w:val="auto"/>
          <w:sz w:val="32"/>
          <w:szCs w:val="32"/>
        </w:rPr>
        <w:t>额事业</w:t>
      </w:r>
      <w:r>
        <w:rPr>
          <w:rFonts w:hint="default" w:ascii="Times New Roman" w:hAnsi="Times New Roman" w:eastAsia="方正仿宋简体" w:cs="Times New Roman"/>
          <w:color w:val="auto"/>
          <w:sz w:val="32"/>
          <w:szCs w:val="32"/>
          <w:lang w:eastAsia="zh-CN"/>
        </w:rPr>
        <w:t>单位</w:t>
      </w:r>
      <w:r>
        <w:rPr>
          <w:rFonts w:hint="default" w:ascii="Times New Roman" w:hAnsi="Times New Roman" w:eastAsia="方正仿宋简体" w:cs="Times New Roman"/>
          <w:color w:val="auto"/>
          <w:sz w:val="32"/>
          <w:szCs w:val="32"/>
        </w:rPr>
        <w:t>，事业编制4人。我</w:t>
      </w:r>
      <w:r>
        <w:rPr>
          <w:rFonts w:hint="default" w:ascii="Times New Roman" w:hAnsi="Times New Roman" w:eastAsia="方正仿宋简体" w:cs="Times New Roman"/>
          <w:color w:val="auto"/>
          <w:sz w:val="32"/>
          <w:szCs w:val="32"/>
          <w:lang w:eastAsia="zh-CN"/>
        </w:rPr>
        <w:t>单位</w:t>
      </w:r>
      <w:r>
        <w:rPr>
          <w:rFonts w:hint="default" w:ascii="Times New Roman" w:hAnsi="Times New Roman" w:eastAsia="方正仿宋简体" w:cs="Times New Roman"/>
          <w:color w:val="auto"/>
          <w:sz w:val="32"/>
          <w:szCs w:val="32"/>
        </w:rPr>
        <w:t>在岗职工13人，管理岗位：事业七级1人、八级1人（双肩挑</w:t>
      </w:r>
      <w:r>
        <w:rPr>
          <w:rFonts w:hint="eastAsia" w:eastAsia="方正仿宋简体" w:cs="Times New Roman"/>
          <w:color w:val="auto"/>
          <w:sz w:val="32"/>
          <w:szCs w:val="32"/>
          <w:lang w:eastAsia="zh-CN"/>
        </w:rPr>
        <w:t>专技岗位</w:t>
      </w:r>
      <w:r>
        <w:rPr>
          <w:rFonts w:hint="default" w:ascii="Times New Roman" w:hAnsi="Times New Roman" w:eastAsia="方正仿宋简体" w:cs="Times New Roman"/>
          <w:color w:val="auto"/>
          <w:sz w:val="32"/>
          <w:szCs w:val="32"/>
        </w:rPr>
        <w:t>中级职称），专业技术岗位：</w:t>
      </w:r>
      <w:r>
        <w:rPr>
          <w:rFonts w:hint="eastAsia" w:eastAsia="方正仿宋简体" w:cs="Times New Roman"/>
          <w:color w:val="auto"/>
          <w:sz w:val="32"/>
          <w:szCs w:val="32"/>
          <w:lang w:eastAsia="zh-CN"/>
        </w:rPr>
        <w:t>中级</w:t>
      </w:r>
      <w:r>
        <w:rPr>
          <w:rFonts w:hint="eastAsia" w:eastAsia="方正仿宋简体" w:cs="Times New Roman"/>
          <w:color w:val="auto"/>
          <w:sz w:val="32"/>
          <w:szCs w:val="32"/>
          <w:lang w:val="en-US" w:eastAsia="zh-CN"/>
        </w:rPr>
        <w:t>5人、</w:t>
      </w:r>
      <w:r>
        <w:rPr>
          <w:rFonts w:hint="default" w:ascii="Times New Roman" w:hAnsi="Times New Roman" w:eastAsia="方正仿宋简体" w:cs="Times New Roman"/>
          <w:color w:val="auto"/>
          <w:sz w:val="32"/>
          <w:szCs w:val="32"/>
        </w:rPr>
        <w:t>初级职称</w:t>
      </w:r>
      <w:r>
        <w:rPr>
          <w:rFonts w:hint="eastAsia"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人、员级2人，工勤技能岗位：高级工1人，中级工</w:t>
      </w:r>
      <w:r>
        <w:rPr>
          <w:rFonts w:hint="eastAsia"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人。退休人员23人。</w:t>
      </w:r>
    </w:p>
    <w:p>
      <w:pPr>
        <w:spacing w:line="552" w:lineRule="exact"/>
        <w:ind w:firstLine="640" w:firstLineChars="200"/>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那曲市电影公共服务中心内部设置科室：综合办公室（党建办公室）、财务室、政工室、数字电影</w:t>
      </w:r>
      <w:r>
        <w:rPr>
          <w:rFonts w:hint="default" w:ascii="Times New Roman" w:hAnsi="Times New Roman" w:eastAsia="方正仿宋简体" w:cs="Times New Roman"/>
          <w:color w:val="auto"/>
          <w:sz w:val="32"/>
          <w:szCs w:val="32"/>
          <w:lang w:eastAsia="zh-CN"/>
        </w:rPr>
        <w:t>节目</w:t>
      </w:r>
      <w:r>
        <w:rPr>
          <w:rFonts w:hint="default" w:ascii="Times New Roman" w:hAnsi="Times New Roman" w:eastAsia="方正仿宋简体" w:cs="Times New Roman"/>
          <w:color w:val="auto"/>
          <w:sz w:val="32"/>
          <w:szCs w:val="32"/>
        </w:rPr>
        <w:t>卫星站。</w:t>
      </w:r>
    </w:p>
    <w:bookmarkEnd w:id="19"/>
    <w:bookmarkEnd w:id="20"/>
    <w:p>
      <w:pPr>
        <w:spacing w:line="578" w:lineRule="exact"/>
        <w:jc w:val="center"/>
        <w:rPr>
          <w:rFonts w:hint="eastAsia" w:ascii="黑体" w:hAnsi="ˎ̥" w:eastAsia="黑体"/>
          <w:color w:val="auto"/>
          <w:sz w:val="32"/>
          <w:szCs w:val="32"/>
        </w:rPr>
      </w:pPr>
      <w:bookmarkStart w:id="21" w:name="_Toc30690_WPSOffice_Level1"/>
      <w:bookmarkStart w:id="22" w:name="_Toc28253_WPSOffice_Level1"/>
      <w:bookmarkStart w:id="23" w:name="_Toc6234_WPSOffice_Level1"/>
      <w:bookmarkStart w:id="24" w:name="_Toc30451_WPSOffice_Level1"/>
      <w:bookmarkStart w:id="25" w:name="_Toc15521_WPSOffice_Level1"/>
      <w:bookmarkStart w:id="26" w:name="_Toc8164_WPSOffice_Level1"/>
      <w:bookmarkStart w:id="27" w:name="_Toc4029_WPSOffice_Level2"/>
      <w:bookmarkStart w:id="28" w:name="_Toc11518_WPSOffice_Level2"/>
      <w:bookmarkStart w:id="29" w:name="_Toc8867_WPSOffice_Level2"/>
      <w:bookmarkStart w:id="30" w:name="_Toc32695_WPSOffice_Level2"/>
      <w:bookmarkStart w:id="31" w:name="_Toc32472_WPSOffice_Level2"/>
      <w:bookmarkStart w:id="32" w:name="_Toc6211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rPr>
      </w:pPr>
      <w:bookmarkStart w:id="33" w:name="_Toc26621_WPSOffice_Level2"/>
      <w:bookmarkStart w:id="34" w:name="_Toc14349_WPSOffice_Level2"/>
      <w:bookmarkStart w:id="35" w:name="_Toc30334_WPSOffice_Level2"/>
      <w:bookmarkStart w:id="36" w:name="_Toc28622_WPSOffice_Level2"/>
      <w:bookmarkStart w:id="37" w:name="_Toc25608_WPSOffice_Level2"/>
      <w:bookmarkStart w:id="38" w:name="_Toc23139_WPSOffice_Level2"/>
      <w:r>
        <w:rPr>
          <w:rFonts w:hint="eastAsia" w:ascii="黑体" w:hAnsi="黑体" w:eastAsia="黑体" w:cs="黑体"/>
          <w:color w:val="auto"/>
          <w:sz w:val="32"/>
          <w:szCs w:val="32"/>
        </w:rPr>
        <w:t>二、收入决算公开表</w:t>
      </w:r>
      <w:bookmarkEnd w:id="33"/>
      <w:bookmarkEnd w:id="34"/>
      <w:bookmarkEnd w:id="35"/>
      <w:bookmarkEnd w:id="36"/>
      <w:bookmarkEnd w:id="37"/>
      <w:bookmarkEnd w:id="38"/>
      <w:bookmarkStart w:id="39" w:name="_Toc17858_WPSOffice_Level2"/>
      <w:bookmarkStart w:id="40" w:name="_Toc5489_WPSOffice_Level2"/>
      <w:bookmarkStart w:id="41" w:name="_Toc3262_WPSOffice_Level2"/>
      <w:bookmarkStart w:id="42" w:name="_Toc17626_WPSOffice_Level2"/>
      <w:bookmarkStart w:id="43" w:name="_Toc13854_WPSOffice_Level2"/>
      <w:bookmarkStart w:id="44" w:name="_Toc14658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9"/>
      <w:bookmarkEnd w:id="40"/>
      <w:bookmarkEnd w:id="41"/>
      <w:bookmarkEnd w:id="42"/>
      <w:bookmarkEnd w:id="43"/>
      <w:bookmarkEnd w:id="44"/>
      <w:bookmarkStart w:id="45" w:name="_Toc23493_WPSOffice_Level2"/>
      <w:bookmarkStart w:id="46" w:name="_Toc13701_WPSOffice_Level2"/>
      <w:bookmarkStart w:id="47" w:name="_Toc21415_WPSOffice_Level2"/>
      <w:bookmarkStart w:id="48" w:name="_Toc4265_WPSOffice_Level2"/>
      <w:bookmarkStart w:id="49" w:name="_Toc7988_WPSOffice_Level2"/>
      <w:bookmarkStart w:id="50" w:name="_Toc23591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rPr>
      </w:pPr>
      <w:bookmarkStart w:id="51" w:name="_Toc22783_WPSOffice_Level2"/>
      <w:bookmarkStart w:id="52" w:name="_Toc7879_WPSOffice_Level2"/>
      <w:bookmarkStart w:id="53" w:name="_Toc23829_WPSOffice_Level2"/>
      <w:bookmarkStart w:id="54" w:name="_Toc25166_WPSOffice_Level2"/>
      <w:bookmarkStart w:id="55" w:name="_Toc13516_WPSOffice_Level2"/>
      <w:bookmarkStart w:id="56" w:name="_Toc2158_WPSOffice_Level2"/>
      <w:r>
        <w:rPr>
          <w:rFonts w:hint="eastAsia" w:ascii="黑体" w:hAnsi="黑体" w:eastAsia="黑体" w:cs="黑体"/>
          <w:color w:val="auto"/>
          <w:sz w:val="32"/>
          <w:szCs w:val="32"/>
        </w:rPr>
        <w:t>五、一般公共预算财政拨款收入支出决算</w:t>
      </w:r>
      <w:bookmarkEnd w:id="51"/>
      <w:bookmarkEnd w:id="52"/>
      <w:bookmarkEnd w:id="53"/>
      <w:bookmarkEnd w:id="54"/>
      <w:r>
        <w:rPr>
          <w:rFonts w:hint="eastAsia" w:ascii="黑体" w:hAnsi="黑体" w:eastAsia="黑体" w:cs="黑体"/>
          <w:color w:val="auto"/>
          <w:sz w:val="32"/>
          <w:szCs w:val="32"/>
        </w:rPr>
        <w:t>公开表</w:t>
      </w:r>
      <w:bookmarkEnd w:id="55"/>
      <w:bookmarkEnd w:id="56"/>
      <w:bookmarkStart w:id="57" w:name="_Toc8373_WPSOffice_Level2"/>
      <w:bookmarkStart w:id="58" w:name="_Toc17833_WPSOffice_Level2"/>
      <w:bookmarkStart w:id="59" w:name="_Toc25362_WPSOffice_Level2"/>
      <w:bookmarkStart w:id="60" w:name="_Toc5343_WPSOffice_Level2"/>
      <w:bookmarkStart w:id="61" w:name="_Toc2632_WPSOffice_Level2"/>
      <w:bookmarkStart w:id="62" w:name="_Toc1728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3" w:name="_Toc1533_WPSOffice_Level2"/>
      <w:bookmarkStart w:id="64" w:name="_Toc6020_WPSOffice_Level2"/>
      <w:bookmarkStart w:id="65" w:name="_Toc13345_WPSOffice_Level2"/>
      <w:bookmarkStart w:id="66" w:name="_Toc5594_WPSOffice_Level2"/>
      <w:bookmarkStart w:id="67" w:name="_Toc21310_WPSOffice_Level2"/>
      <w:bookmarkStart w:id="68" w:name="_Toc11799_WPSOffice_Level2"/>
      <w:r>
        <w:rPr>
          <w:rFonts w:hint="eastAsia" w:ascii="黑体" w:hAnsi="黑体" w:eastAsia="黑体" w:cs="黑体"/>
          <w:color w:val="auto"/>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9" w:name="_Toc29886_WPSOffice_Level2"/>
      <w:bookmarkStart w:id="70" w:name="_Toc19961_WPSOffice_Level2"/>
      <w:bookmarkStart w:id="71" w:name="_Toc9377_WPSOffice_Level2"/>
      <w:bookmarkStart w:id="72" w:name="_Toc1820_WPSOffice_Level2"/>
      <w:r>
        <w:rPr>
          <w:rFonts w:hint="eastAsia" w:ascii="黑体" w:hAnsi="黑体" w:eastAsia="黑体" w:cs="黑体"/>
          <w:color w:val="auto"/>
          <w:sz w:val="32"/>
          <w:szCs w:val="32"/>
        </w:rPr>
        <w:t>九、财政拨款“三公”经费支出决算</w:t>
      </w:r>
      <w:bookmarkEnd w:id="69"/>
      <w:bookmarkEnd w:id="70"/>
      <w:bookmarkEnd w:id="71"/>
      <w:bookmarkEnd w:id="72"/>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3" w:name="_Toc28629_WPSOffice_Level1"/>
      <w:bookmarkStart w:id="74" w:name="_Toc31264_WPSOffice_Level1"/>
      <w:bookmarkStart w:id="75" w:name="_Toc4402_WPSOffice_Level1"/>
      <w:bookmarkStart w:id="76" w:name="_Toc29683_WPSOffice_Level1"/>
      <w:bookmarkStart w:id="77" w:name="_Toc27590_WPSOffice_Level1"/>
      <w:bookmarkStart w:id="78" w:name="_Toc16686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527.25</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527.25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年度相比，收入、支出总计各(减少)</w:t>
      </w:r>
      <w:r>
        <w:rPr>
          <w:rFonts w:hint="eastAsia" w:ascii="仿宋_GB2312" w:hAnsi="ˎ̥" w:eastAsia="仿宋_GB2312"/>
          <w:color w:val="auto"/>
          <w:sz w:val="32"/>
          <w:szCs w:val="32"/>
          <w:lang w:val="en-US" w:eastAsia="zh-CN"/>
        </w:rPr>
        <w:t>79.28</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13.07</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2024年度退休5人相应工资及社保减少</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项目资金减少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527.25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lang w:val="en-US" w:eastAsia="zh-CN"/>
        </w:rPr>
        <w:t>2024年度本单位</w:t>
      </w: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2024</w:t>
      </w:r>
      <w:r>
        <w:rPr>
          <w:rFonts w:hint="eastAsia" w:ascii="仿宋_GB2312" w:hAnsi="ˎ̥" w:eastAsia="仿宋_GB2312"/>
          <w:color w:val="auto"/>
          <w:sz w:val="32"/>
          <w:szCs w:val="32"/>
        </w:rPr>
        <w:t>年支出</w:t>
      </w:r>
      <w:r>
        <w:rPr>
          <w:rFonts w:hint="default" w:ascii="仿宋_GB2312" w:hAnsi="ˎ̥" w:eastAsia="仿宋_GB2312"/>
          <w:color w:val="auto"/>
          <w:sz w:val="32"/>
          <w:szCs w:val="32"/>
          <w:lang w:val="en-US"/>
        </w:rPr>
        <w:t>527.25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2024年度本单位</w:t>
      </w: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527.25</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525.47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1.78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527.25</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440.45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83.53</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86.79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16.46</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525.47</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525.47</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年度相比，财政拨款收入（减少）</w:t>
      </w:r>
      <w:r>
        <w:rPr>
          <w:rFonts w:hint="eastAsia" w:ascii="仿宋_GB2312" w:hAnsi="ˎ̥" w:eastAsia="仿宋_GB2312"/>
          <w:color w:val="auto"/>
          <w:sz w:val="32"/>
          <w:szCs w:val="32"/>
          <w:lang w:val="en-US" w:eastAsia="zh-CN"/>
        </w:rPr>
        <w:t>79.28</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13.07</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2024年度退休5人相应工资及社保减少</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项目资金减少</w:t>
      </w: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9" w:name="_Toc23005_WPSOffice_Level2"/>
      <w:bookmarkStart w:id="80" w:name="_Toc9989_WPSOffice_Level2"/>
      <w:bookmarkStart w:id="81" w:name="_Toc19665_WPSOffice_Level2"/>
      <w:bookmarkStart w:id="82" w:name="_Toc13694_WPSOffice_Level2"/>
      <w:bookmarkStart w:id="83" w:name="_Toc17398_WPSOffice_Level2"/>
      <w:bookmarkStart w:id="84" w:name="_Toc21737_WPSOffice_Level2"/>
      <w:r>
        <w:rPr>
          <w:rFonts w:hint="eastAsia" w:ascii="楷体" w:hAnsi="楷体" w:eastAsia="楷体" w:cs="楷体"/>
          <w:color w:val="auto"/>
          <w:sz w:val="32"/>
          <w:szCs w:val="32"/>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510.47</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96.81</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年度相比，一般公共预算财政拨款支出增加（减少）</w:t>
      </w:r>
      <w:r>
        <w:rPr>
          <w:rFonts w:hint="eastAsia" w:ascii="仿宋_GB2312" w:hAnsi="ˎ̥" w:eastAsia="仿宋_GB2312"/>
          <w:color w:val="auto"/>
          <w:sz w:val="32"/>
          <w:szCs w:val="32"/>
          <w:lang w:val="en-US" w:eastAsia="zh-CN"/>
        </w:rPr>
        <w:t>96.06</w:t>
      </w:r>
      <w:r>
        <w:rPr>
          <w:rFonts w:hint="eastAsia" w:ascii="仿宋_GB2312" w:hAnsi="ˎ̥" w:eastAsia="仿宋_GB2312"/>
          <w:color w:val="auto"/>
          <w:sz w:val="32"/>
          <w:szCs w:val="32"/>
        </w:rPr>
        <w:t>万元，主要原因：一是</w:t>
      </w:r>
      <w:r>
        <w:rPr>
          <w:rFonts w:hint="eastAsia" w:ascii="仿宋_GB2312" w:hAnsi="ˎ̥" w:eastAsia="仿宋_GB2312"/>
          <w:color w:val="auto"/>
          <w:sz w:val="32"/>
          <w:szCs w:val="32"/>
          <w:lang w:val="en-US" w:eastAsia="zh-CN"/>
        </w:rPr>
        <w:t>2024年度退休5人相应工资及社保减少</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项目资金减少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5" w:name="_Toc27767_WPSOffice_Level2"/>
      <w:bookmarkStart w:id="86" w:name="_Toc2711_WPSOffice_Level2"/>
      <w:bookmarkStart w:id="87" w:name="_Toc18793_WPSOffice_Level2"/>
      <w:bookmarkStart w:id="88" w:name="_Toc19535_WPSOffice_Level2"/>
      <w:bookmarkStart w:id="89" w:name="_Toc19075_WPSOffice_Level2"/>
      <w:bookmarkStart w:id="90" w:name="_Toc23864_WPSOffice_Level2"/>
      <w:r>
        <w:rPr>
          <w:rFonts w:hint="eastAsia" w:ascii="楷体" w:hAnsi="楷体" w:eastAsia="楷体" w:cs="楷体"/>
          <w:color w:val="auto"/>
          <w:sz w:val="32"/>
          <w:szCs w:val="32"/>
        </w:rPr>
        <w:t>（二）一般公共预算财政拨款支出决算结构情况</w:t>
      </w:r>
      <w:bookmarkEnd w:id="85"/>
      <w:bookmarkEnd w:id="86"/>
      <w:bookmarkEnd w:id="87"/>
      <w:bookmarkEnd w:id="88"/>
      <w:bookmarkEnd w:id="89"/>
      <w:bookmarkEnd w:id="90"/>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510.47</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lang w:eastAsia="zh-CN"/>
        </w:rPr>
        <w:t>文化旅游体育与传媒支出</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402.55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78.85</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47.77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9.35</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37.04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7.26</w:t>
      </w:r>
      <w:r>
        <w:rPr>
          <w:rFonts w:hint="eastAsia" w:ascii="仿宋_GB2312" w:hAnsi="ˎ̥" w:eastAsia="仿宋_GB2312"/>
          <w:color w:val="auto"/>
          <w:sz w:val="32"/>
          <w:szCs w:val="32"/>
        </w:rPr>
        <w:t>%；</w:t>
      </w:r>
      <w:r>
        <w:rPr>
          <w:rFonts w:hint="eastAsia" w:ascii="仿宋_GB2312" w:hAnsi="??" w:eastAsia="仿宋_GB2312"/>
          <w:b/>
          <w:color w:val="auto"/>
          <w:sz w:val="32"/>
          <w:szCs w:val="32"/>
        </w:rPr>
        <w:t>卫生健康（类）</w:t>
      </w:r>
      <w:r>
        <w:rPr>
          <w:rFonts w:hint="eastAsia" w:ascii="仿宋_GB2312" w:hAnsi="??" w:eastAsia="仿宋_GB2312"/>
          <w:color w:val="auto"/>
          <w:sz w:val="32"/>
          <w:szCs w:val="32"/>
        </w:rPr>
        <w:t>支出</w:t>
      </w:r>
      <w:r>
        <w:rPr>
          <w:rFonts w:hint="eastAsia" w:ascii="仿宋_GB2312" w:hAnsi="??" w:eastAsia="仿宋_GB2312"/>
          <w:color w:val="auto"/>
          <w:sz w:val="32"/>
          <w:szCs w:val="32"/>
          <w:lang w:val="en-US" w:eastAsia="zh-CN"/>
        </w:rPr>
        <w:t>23.11</w:t>
      </w:r>
      <w:r>
        <w:rPr>
          <w:rFonts w:hint="eastAsia" w:ascii="仿宋_GB2312" w:hAnsi="??" w:eastAsia="仿宋_GB2312"/>
          <w:color w:val="auto"/>
          <w:sz w:val="32"/>
          <w:szCs w:val="32"/>
        </w:rPr>
        <w:t>万元，占</w:t>
      </w:r>
      <w:r>
        <w:rPr>
          <w:rFonts w:hint="eastAsia" w:ascii="仿宋_GB2312" w:hAnsi="??" w:eastAsia="仿宋_GB2312"/>
          <w:color w:val="auto"/>
          <w:sz w:val="32"/>
          <w:szCs w:val="32"/>
          <w:lang w:val="en-US" w:eastAsia="zh-CN"/>
        </w:rPr>
        <w:t>4.53</w:t>
      </w:r>
      <w:r>
        <w:rPr>
          <w:rFonts w:ascii="仿宋_GB2312" w:hAnsi="??" w:eastAsia="仿宋_GB2312"/>
          <w:color w:val="auto"/>
          <w:sz w:val="32"/>
          <w:szCs w:val="32"/>
        </w:rPr>
        <w:t>%</w:t>
      </w:r>
      <w:r>
        <w:rPr>
          <w:rFonts w:hint="eastAsia" w:ascii="仿宋_GB2312" w:hAnsi="??"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1" w:name="_Toc9502_WPSOffice_Level2"/>
      <w:bookmarkStart w:id="92" w:name="_Toc15415_WPSOffice_Level2"/>
      <w:bookmarkStart w:id="93" w:name="_Toc25136_WPSOffice_Level2"/>
      <w:bookmarkStart w:id="94" w:name="_Toc21701_WPSOffice_Level2"/>
      <w:bookmarkStart w:id="95" w:name="_Toc22318_WPSOffice_Level2"/>
      <w:bookmarkStart w:id="96" w:name="_Toc29364_WPSOffice_Level2"/>
      <w:r>
        <w:rPr>
          <w:rFonts w:hint="eastAsia" w:ascii="楷体" w:hAnsi="楷体" w:eastAsia="楷体" w:cs="楷体"/>
          <w:color w:val="auto"/>
          <w:sz w:val="32"/>
          <w:szCs w:val="32"/>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522.01</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510.47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97.78</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440.45</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429.89</w:t>
      </w:r>
      <w:r>
        <w:rPr>
          <w:rFonts w:hint="eastAsia" w:ascii="仿宋_GB2312" w:hAnsi="ˎ̥" w:eastAsia="仿宋_GB2312"/>
          <w:color w:val="auto"/>
          <w:sz w:val="32"/>
          <w:szCs w:val="32"/>
        </w:rPr>
        <w:t>万元，主要包括：工资福利支出中的基本工资</w:t>
      </w:r>
      <w:r>
        <w:rPr>
          <w:rFonts w:hint="eastAsia" w:ascii="仿宋_GB2312" w:hAnsi="ˎ̥" w:eastAsia="仿宋_GB2312"/>
          <w:color w:val="auto"/>
          <w:sz w:val="32"/>
          <w:szCs w:val="32"/>
          <w:lang w:val="en-US" w:eastAsia="zh-CN"/>
        </w:rPr>
        <w:t>51.98</w:t>
      </w:r>
      <w:r>
        <w:rPr>
          <w:rFonts w:hint="eastAsia" w:ascii="仿宋_GB2312" w:hAnsi="ˎ̥" w:eastAsia="仿宋_GB2312"/>
          <w:color w:val="auto"/>
          <w:sz w:val="32"/>
          <w:szCs w:val="32"/>
        </w:rPr>
        <w:t>万元、津贴补贴</w:t>
      </w:r>
      <w:r>
        <w:rPr>
          <w:rFonts w:hint="eastAsia" w:ascii="仿宋_GB2312" w:hAnsi="ˎ̥" w:eastAsia="仿宋_GB2312"/>
          <w:color w:val="auto"/>
          <w:sz w:val="32"/>
          <w:szCs w:val="32"/>
          <w:lang w:val="en-US" w:eastAsia="zh-CN"/>
        </w:rPr>
        <w:t>221.58</w:t>
      </w:r>
      <w:r>
        <w:rPr>
          <w:rFonts w:hint="eastAsia" w:ascii="仿宋_GB2312" w:hAnsi="ˎ̥" w:eastAsia="仿宋_GB2312"/>
          <w:color w:val="auto"/>
          <w:sz w:val="32"/>
          <w:szCs w:val="32"/>
        </w:rPr>
        <w:t>万元、奖金</w:t>
      </w:r>
      <w:r>
        <w:rPr>
          <w:rFonts w:hint="eastAsia" w:ascii="仿宋_GB2312" w:hAnsi="ˎ̥" w:eastAsia="仿宋_GB2312"/>
          <w:color w:val="auto"/>
          <w:sz w:val="32"/>
          <w:szCs w:val="32"/>
          <w:lang w:val="en-US" w:eastAsia="zh-CN"/>
        </w:rPr>
        <w:t>22.52</w:t>
      </w:r>
      <w:r>
        <w:rPr>
          <w:rFonts w:hint="eastAsia" w:ascii="仿宋_GB2312" w:hAnsi="ˎ̥" w:eastAsia="仿宋_GB2312"/>
          <w:color w:val="auto"/>
          <w:sz w:val="32"/>
          <w:szCs w:val="32"/>
        </w:rPr>
        <w:t>万元、伙食补助费</w:t>
      </w:r>
      <w:r>
        <w:rPr>
          <w:rFonts w:hint="eastAsia" w:ascii="仿宋_GB2312" w:hAnsi="ˎ̥" w:eastAsia="仿宋_GB2312"/>
          <w:color w:val="auto"/>
          <w:sz w:val="32"/>
          <w:szCs w:val="32"/>
          <w:lang w:val="en-US" w:eastAsia="zh-CN"/>
        </w:rPr>
        <w:t>7.80</w:t>
      </w:r>
      <w:r>
        <w:rPr>
          <w:rFonts w:hint="eastAsia" w:ascii="仿宋_GB2312" w:hAnsi="ˎ̥" w:eastAsia="仿宋_GB2312"/>
          <w:color w:val="auto"/>
          <w:sz w:val="32"/>
          <w:szCs w:val="32"/>
        </w:rPr>
        <w:t>万元、机关事业单位基本养老保险缴费</w:t>
      </w:r>
      <w:r>
        <w:rPr>
          <w:rFonts w:hint="eastAsia" w:ascii="仿宋_GB2312" w:hAnsi="ˎ̥" w:eastAsia="仿宋_GB2312"/>
          <w:color w:val="auto"/>
          <w:sz w:val="32"/>
          <w:szCs w:val="32"/>
          <w:lang w:val="en-US" w:eastAsia="zh-CN"/>
        </w:rPr>
        <w:t>42.18</w:t>
      </w:r>
      <w:r>
        <w:rPr>
          <w:rFonts w:hint="eastAsia" w:ascii="仿宋_GB2312" w:hAnsi="ˎ̥" w:eastAsia="仿宋_GB2312"/>
          <w:color w:val="auto"/>
          <w:sz w:val="32"/>
          <w:szCs w:val="32"/>
        </w:rPr>
        <w:t>万元、职工基本医疗保险缴费</w:t>
      </w:r>
      <w:r>
        <w:rPr>
          <w:rFonts w:hint="eastAsia" w:ascii="仿宋_GB2312" w:hAnsi="ˎ̥" w:eastAsia="仿宋_GB2312"/>
          <w:color w:val="auto"/>
          <w:sz w:val="32"/>
          <w:szCs w:val="32"/>
          <w:lang w:val="en-US" w:eastAsia="zh-CN"/>
        </w:rPr>
        <w:t>20.30</w:t>
      </w:r>
      <w:r>
        <w:rPr>
          <w:rFonts w:hint="eastAsia" w:ascii="仿宋_GB2312" w:hAnsi="ˎ̥" w:eastAsia="仿宋_GB2312"/>
          <w:color w:val="auto"/>
          <w:sz w:val="32"/>
          <w:szCs w:val="32"/>
        </w:rPr>
        <w:t>万元、其他社会保障缴费</w:t>
      </w:r>
      <w:r>
        <w:rPr>
          <w:rFonts w:hint="eastAsia" w:ascii="仿宋_GB2312" w:hAnsi="ˎ̥" w:eastAsia="仿宋_GB2312"/>
          <w:color w:val="auto"/>
          <w:sz w:val="32"/>
          <w:szCs w:val="32"/>
          <w:lang w:val="en-US" w:eastAsia="zh-CN"/>
        </w:rPr>
        <w:t>1.58</w:t>
      </w:r>
      <w:r>
        <w:rPr>
          <w:rFonts w:hint="eastAsia" w:ascii="仿宋_GB2312" w:hAnsi="ˎ̥" w:eastAsia="仿宋_GB2312"/>
          <w:color w:val="auto"/>
          <w:sz w:val="32"/>
          <w:szCs w:val="32"/>
        </w:rPr>
        <w:t>万元、住房公积金</w:t>
      </w:r>
      <w:r>
        <w:rPr>
          <w:rFonts w:hint="eastAsia" w:ascii="仿宋_GB2312" w:hAnsi="ˎ̥" w:eastAsia="仿宋_GB2312"/>
          <w:color w:val="auto"/>
          <w:sz w:val="32"/>
          <w:szCs w:val="32"/>
          <w:lang w:val="en-US" w:eastAsia="zh-CN"/>
        </w:rPr>
        <w:t>37.04</w:t>
      </w:r>
      <w:r>
        <w:rPr>
          <w:rFonts w:hint="eastAsia" w:ascii="仿宋_GB2312" w:hAnsi="ˎ̥" w:eastAsia="仿宋_GB2312"/>
          <w:color w:val="auto"/>
          <w:sz w:val="32"/>
          <w:szCs w:val="32"/>
        </w:rPr>
        <w:t>万元、医疗费</w:t>
      </w:r>
      <w:r>
        <w:rPr>
          <w:rFonts w:hint="eastAsia" w:ascii="仿宋_GB2312" w:hAnsi="ˎ̥" w:eastAsia="仿宋_GB2312"/>
          <w:color w:val="auto"/>
          <w:sz w:val="32"/>
          <w:szCs w:val="32"/>
          <w:lang w:val="en-US" w:eastAsia="zh-CN"/>
        </w:rPr>
        <w:t>2.81</w:t>
      </w:r>
      <w:r>
        <w:rPr>
          <w:rFonts w:hint="eastAsia" w:ascii="仿宋_GB2312" w:hAnsi="ˎ̥" w:eastAsia="仿宋_GB2312"/>
          <w:color w:val="auto"/>
          <w:sz w:val="32"/>
          <w:szCs w:val="32"/>
        </w:rPr>
        <w:t>万元、其他工资福利支出</w:t>
      </w:r>
      <w:r>
        <w:rPr>
          <w:rFonts w:hint="eastAsia" w:ascii="仿宋_GB2312" w:hAnsi="ˎ̥" w:eastAsia="仿宋_GB2312"/>
          <w:color w:val="auto"/>
          <w:sz w:val="32"/>
          <w:szCs w:val="32"/>
          <w:lang w:val="en-US" w:eastAsia="zh-CN"/>
        </w:rPr>
        <w:t>16.51</w:t>
      </w:r>
      <w:r>
        <w:rPr>
          <w:rFonts w:hint="eastAsia" w:ascii="仿宋_GB2312" w:hAnsi="ˎ̥" w:eastAsia="仿宋_GB2312"/>
          <w:color w:val="auto"/>
          <w:sz w:val="32"/>
          <w:szCs w:val="32"/>
        </w:rPr>
        <w:t>万元；生活补助</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万元、医疗费补助</w:t>
      </w:r>
      <w:r>
        <w:rPr>
          <w:rFonts w:hint="eastAsia" w:ascii="仿宋_GB2312" w:hAnsi="ˎ̥" w:eastAsia="仿宋_GB2312"/>
          <w:color w:val="auto"/>
          <w:sz w:val="32"/>
          <w:szCs w:val="32"/>
          <w:lang w:val="en-US" w:eastAsia="zh-CN"/>
        </w:rPr>
        <w:t>2.3</w:t>
      </w:r>
      <w:r>
        <w:rPr>
          <w:rFonts w:hint="eastAsia" w:ascii="仿宋_GB2312" w:hAnsi="ˎ̥" w:eastAsia="仿宋_GB2312"/>
          <w:color w:val="auto"/>
          <w:sz w:val="32"/>
          <w:szCs w:val="32"/>
        </w:rPr>
        <w:t>万元、其他对个人和家庭的补助</w:t>
      </w:r>
      <w:r>
        <w:rPr>
          <w:rFonts w:hint="eastAsia" w:ascii="仿宋_GB2312" w:hAnsi="ˎ̥" w:eastAsia="仿宋_GB2312"/>
          <w:color w:val="auto"/>
          <w:sz w:val="32"/>
          <w:szCs w:val="32"/>
          <w:lang w:val="en-US" w:eastAsia="zh-CN"/>
        </w:rPr>
        <w:t>2.99</w:t>
      </w:r>
      <w:r>
        <w:rPr>
          <w:rFonts w:hint="eastAsia" w:ascii="仿宋_GB2312" w:hAnsi="ˎ̥" w:eastAsia="仿宋_GB2312"/>
          <w:color w:val="auto"/>
          <w:sz w:val="32"/>
          <w:szCs w:val="32"/>
        </w:rPr>
        <w:t>万元。</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公用经费</w:t>
      </w:r>
      <w:r>
        <w:rPr>
          <w:rFonts w:ascii="仿宋_GB2312" w:hAnsi="ˎ̥" w:eastAsia="仿宋_GB2312"/>
          <w:color w:val="auto"/>
          <w:sz w:val="32"/>
          <w:szCs w:val="32"/>
          <w:lang w:val="en-US"/>
        </w:rPr>
        <w:t>10.56</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w:t>
      </w:r>
      <w:r>
        <w:rPr>
          <w:rFonts w:hint="eastAsia" w:ascii="仿宋_GB2312" w:hAnsi="ˎ̥" w:eastAsia="仿宋_GB2312"/>
          <w:color w:val="auto"/>
          <w:sz w:val="32"/>
          <w:szCs w:val="32"/>
          <w:lang w:val="en-US" w:eastAsia="zh-CN"/>
        </w:rPr>
        <w:t>5.68</w:t>
      </w:r>
      <w:r>
        <w:rPr>
          <w:rFonts w:hint="eastAsia" w:ascii="仿宋_GB2312" w:hAnsi="ˎ̥" w:eastAsia="仿宋_GB2312"/>
          <w:color w:val="auto"/>
          <w:sz w:val="32"/>
          <w:szCs w:val="32"/>
        </w:rPr>
        <w:t>万元、福利费、公务用车运行维护费、其他交通费用、税金及附加费用、其他商品和服务支出</w:t>
      </w:r>
      <w:r>
        <w:rPr>
          <w:rFonts w:hint="eastAsia" w:ascii="仿宋_GB2312" w:hAnsi="ˎ̥" w:eastAsia="仿宋_GB2312"/>
          <w:color w:val="auto"/>
          <w:sz w:val="32"/>
          <w:szCs w:val="32"/>
          <w:lang w:val="en-US" w:eastAsia="zh-CN"/>
        </w:rPr>
        <w:t>4.88</w:t>
      </w:r>
      <w:r>
        <w:rPr>
          <w:rFonts w:hint="eastAsia" w:ascii="仿宋_GB2312" w:hAnsi="ˎ̥" w:eastAsia="仿宋_GB2312"/>
          <w:color w:val="auto"/>
          <w:sz w:val="32"/>
          <w:szCs w:val="32"/>
        </w:rPr>
        <w:t>万元；债务利息及费用支出中的国内债务付息及国外债务付息；资本性支出中的房屋建筑物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15.00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2.84</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13.6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97</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国家电影事业发展专项资金支出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15.00</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国家电影事业发展专项资金支出</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15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15</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15.00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w:t>
      </w:r>
      <w:r>
        <w:rPr>
          <w:rFonts w:hint="eastAsia" w:ascii="仿宋_GB2312" w:hAnsi="ˎ̥" w:eastAsia="仿宋_GB2312"/>
          <w:color w:val="auto"/>
          <w:sz w:val="32"/>
          <w:szCs w:val="32"/>
          <w:lang w:val="en-US" w:eastAsia="zh-CN"/>
        </w:rPr>
        <w:t>207</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20707</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2070701</w:t>
      </w:r>
      <w:r>
        <w:rPr>
          <w:rFonts w:hint="eastAsia" w:ascii="仿宋_GB2312" w:hAnsi="ˎ̥" w:eastAsia="仿宋_GB2312"/>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lang w:val="en-US" w:eastAsia="zh-CN"/>
        </w:rPr>
        <w:t>2024年度本单位无</w:t>
      </w:r>
      <w:r>
        <w:rPr>
          <w:rFonts w:hint="eastAsia" w:ascii="楷体" w:hAnsi="楷体" w:eastAsia="楷体" w:cs="楷体"/>
          <w:color w:val="auto"/>
          <w:sz w:val="32"/>
          <w:szCs w:val="32"/>
        </w:rPr>
        <w:t>国有资本经营预算财政拨款</w:t>
      </w:r>
      <w:r>
        <w:rPr>
          <w:rFonts w:hint="eastAsia" w:ascii="楷体" w:hAnsi="楷体" w:eastAsia="楷体" w:cs="楷体"/>
          <w:color w:val="auto"/>
          <w:sz w:val="32"/>
          <w:szCs w:val="32"/>
          <w:lang w:eastAsia="zh-CN"/>
        </w:rPr>
        <w:t>收入及</w:t>
      </w:r>
      <w:r>
        <w:rPr>
          <w:rFonts w:hint="eastAsia" w:ascii="楷体" w:hAnsi="楷体" w:eastAsia="楷体" w:cs="楷体"/>
          <w:color w:val="auto"/>
          <w:sz w:val="32"/>
          <w:szCs w:val="32"/>
        </w:rPr>
        <w:t>支出决算总体情况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3.50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3.50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2.38</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40.47</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3.50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w:t>
      </w:r>
      <w:r>
        <w:rPr>
          <w:rFonts w:hint="eastAsia" w:ascii="仿宋_GB2312" w:hAnsi="ˎ̥" w:eastAsia="仿宋_GB2312"/>
          <w:color w:val="auto"/>
          <w:sz w:val="32"/>
          <w:szCs w:val="32"/>
          <w:lang w:val="en-US" w:eastAsia="zh-CN"/>
        </w:rPr>
        <w:t>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3.50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辆，年末公务用车保有量</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3.50</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车辆维修及购买公车保险、油料费等</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w:t>
      </w:r>
      <w:r>
        <w:rPr>
          <w:rFonts w:hint="eastAsia" w:ascii="仿宋_GB2312" w:eastAsia="仿宋_GB2312"/>
          <w:color w:val="auto"/>
          <w:sz w:val="32"/>
          <w:szCs w:val="32"/>
          <w:lang w:val="en-US" w:eastAsia="zh-CN"/>
        </w:rPr>
        <w:t>0</w:t>
      </w:r>
      <w:r>
        <w:rPr>
          <w:rFonts w:hint="eastAsia" w:ascii="仿宋_GB2312" w:eastAsia="仿宋_GB2312"/>
          <w:color w:val="auto"/>
          <w:sz w:val="32"/>
          <w:szCs w:val="32"/>
          <w:lang w:val="en-US" w:eastAsia="zh-CN"/>
        </w:rPr>
        <w:t>万元，占一般公共预算项目支出总额的</w:t>
      </w:r>
      <w:r>
        <w:rPr>
          <w:rFonts w:hint="eastAsia" w:ascii="仿宋_GB2312" w:eastAsia="仿宋_GB2312"/>
          <w:color w:val="auto"/>
          <w:sz w:val="32"/>
          <w:szCs w:val="32"/>
          <w:lang w:val="en-US" w:eastAsia="zh-CN"/>
        </w:rPr>
        <w:t>0</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7" w:name="_Toc5978_WPSOffice_Level2"/>
      <w:bookmarkStart w:id="98" w:name="_Toc32639_WPSOffice_Level2"/>
      <w:bookmarkStart w:id="99" w:name="_Toc18325_WPSOffice_Level2"/>
      <w:bookmarkStart w:id="100" w:name="_Toc15565_WPSOffice_Level2"/>
      <w:bookmarkStart w:id="101" w:name="_Toc23598_WPSOffice_Level2"/>
      <w:bookmarkStart w:id="102" w:name="_Toc15262_WPSOffice_Level2"/>
      <w:r>
        <w:rPr>
          <w:rFonts w:hint="eastAsia" w:ascii="楷体" w:hAnsi="楷体" w:eastAsia="楷体" w:cs="楷体"/>
          <w:bCs/>
          <w:color w:val="auto"/>
          <w:sz w:val="32"/>
          <w:szCs w:val="32"/>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本</w:t>
      </w:r>
      <w:r>
        <w:rPr>
          <w:rFonts w:hint="eastAsia" w:ascii="仿宋_GB2312" w:hAnsi="ˎ̥" w:eastAsia="仿宋_GB2312"/>
          <w:color w:val="auto"/>
          <w:sz w:val="32"/>
          <w:szCs w:val="32"/>
        </w:rPr>
        <w:t>单位没有机关运行经费支出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3" w:name="_Toc25333_WPSOffice_Level2"/>
      <w:bookmarkStart w:id="104" w:name="_Toc3131_WPSOffice_Level2"/>
      <w:bookmarkStart w:id="105" w:name="_Toc13084_WPSOffice_Level2"/>
      <w:bookmarkStart w:id="106" w:name="_Toc30383_WPSOffice_Level2"/>
      <w:bookmarkStart w:id="107" w:name="_Toc32689_WPSOffice_Level2"/>
      <w:bookmarkStart w:id="108" w:name="_Toc23966_WPSOffice_Level2"/>
      <w:r>
        <w:rPr>
          <w:rFonts w:hint="eastAsia" w:ascii="楷体" w:hAnsi="楷体" w:eastAsia="楷体" w:cs="楷体"/>
          <w:bCs/>
          <w:color w:val="auto"/>
          <w:sz w:val="32"/>
          <w:szCs w:val="32"/>
        </w:rPr>
        <w:t>（二）政府采购支出情况</w:t>
      </w:r>
      <w:bookmarkEnd w:id="103"/>
      <w:bookmarkEnd w:id="104"/>
      <w:bookmarkEnd w:id="105"/>
      <w:bookmarkEnd w:id="106"/>
      <w:bookmarkEnd w:id="107"/>
      <w:bookmarkEnd w:id="108"/>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FFFFFF"/>
        <w:spacing w:before="0" w:beforeAutospacing="0" w:after="0" w:afterAutospacing="0"/>
        <w:ind w:firstLine="640" w:firstLineChars="200"/>
        <w:rPr>
          <w:color w:val="auto"/>
        </w:rPr>
      </w:pPr>
      <w:r>
        <w:rPr>
          <w:rFonts w:hint="eastAsia" w:ascii="仿宋" w:hAnsi="仿宋" w:eastAsia="仿宋" w:cs="仿宋"/>
          <w:color w:val="auto"/>
          <w:sz w:val="32"/>
          <w:szCs w:val="32"/>
          <w:shd w:val="clear" w:color="auto" w:fill="FFFFFF"/>
        </w:rPr>
        <w:t>202</w:t>
      </w: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年我单位无政府采购支出。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9" w:name="_Toc10902_WPSOffice_Level2"/>
      <w:bookmarkStart w:id="110" w:name="_Toc15129_WPSOffice_Level2"/>
      <w:bookmarkStart w:id="111" w:name="_Toc527_WPSOffice_Level2"/>
      <w:bookmarkStart w:id="112" w:name="_Toc29584_WPSOffice_Level2"/>
      <w:bookmarkStart w:id="113" w:name="_Toc19989_WPSOffice_Level2"/>
      <w:bookmarkStart w:id="114" w:name="_Toc6016_WPSOffice_Level2"/>
      <w:r>
        <w:rPr>
          <w:rFonts w:hint="eastAsia" w:ascii="楷体" w:hAnsi="楷体" w:eastAsia="楷体" w:cs="楷体"/>
          <w:bCs/>
          <w:color w:val="auto"/>
          <w:sz w:val="32"/>
          <w:szCs w:val="32"/>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2033</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eastAsia="zh-CN"/>
        </w:rPr>
        <w:t>公务用车</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5" w:name="_Toc8808_WPSOffice_Level1"/>
      <w:bookmarkStart w:id="116" w:name="_Toc8874_WPSOffice_Level1"/>
      <w:bookmarkStart w:id="117" w:name="_Toc11039_WPSOffice_Level1"/>
      <w:bookmarkStart w:id="118" w:name="_Toc15425_WPSOffice_Level1"/>
      <w:bookmarkStart w:id="119" w:name="_Toc4398_WPSOffice_Level1"/>
      <w:bookmarkStart w:id="120" w:name="_Toc17580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207</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20706</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2070607</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电影；</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207</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20701</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2070701</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资助国产影片放映；</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208</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20805</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2080502</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事业单位离退休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208</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20805</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2080505</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机关事业单位基本养老保险缴费支出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208</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20808</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2080801</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死亡抚恤</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210</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21011</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2101102</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事业单位医疗；</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210</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21011</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2101199</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其他行政事业单位医疗支出；</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 w:hAnsi="仿宋" w:eastAsia="仿宋" w:cs="仿宋"/>
          <w:color w:val="auto"/>
          <w:sz w:val="32"/>
          <w:szCs w:val="32"/>
          <w:shd w:val="clear" w:color="auto" w:fill="FFFFFF"/>
        </w:rPr>
      </w:pPr>
      <w:r>
        <w:rPr>
          <w:rFonts w:hint="eastAsia" w:ascii="仿宋_GB2312" w:hAnsi="ˎ̥" w:eastAsia="仿宋_GB2312"/>
          <w:color w:val="auto"/>
          <w:sz w:val="32"/>
          <w:szCs w:val="32"/>
          <w:lang w:val="en-US" w:eastAsia="zh-CN"/>
        </w:rPr>
        <w:t>221</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22102</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2210201</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住房公积金。</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仿宋" w:hAnsi="仿宋" w:eastAsia="仿宋" w:cs="仿宋"/>
          <w:color w:val="auto"/>
          <w:sz w:val="32"/>
          <w:szCs w:val="32"/>
          <w:shd w:val="clear" w:color="auto" w:fill="FFFFFF"/>
        </w:rPr>
      </w:pP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eastAsia="仿宋"/>
          <w:color w:val="auto"/>
          <w:lang w:val="en-US" w:eastAsia="zh-CN"/>
        </w:rPr>
      </w:pPr>
      <w:r>
        <w:rPr>
          <w:rFonts w:hint="eastAsia" w:ascii="仿宋" w:hAnsi="仿宋" w:eastAsia="仿宋" w:cs="仿宋"/>
          <w:color w:val="auto"/>
          <w:sz w:val="32"/>
          <w:szCs w:val="32"/>
          <w:shd w:val="clear" w:color="auto" w:fill="FFFFFF"/>
        </w:rPr>
        <w:t>那曲市</w:t>
      </w:r>
      <w:r>
        <w:rPr>
          <w:rFonts w:hint="eastAsia" w:ascii="仿宋" w:hAnsi="仿宋" w:eastAsia="仿宋" w:cs="仿宋"/>
          <w:color w:val="auto"/>
          <w:sz w:val="32"/>
          <w:szCs w:val="32"/>
          <w:shd w:val="clear" w:color="auto" w:fill="FFFFFF"/>
          <w:lang w:eastAsia="zh-CN"/>
        </w:rPr>
        <w:t>电影公共服务中心</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480"/>
        <w:jc w:val="right"/>
        <w:rPr>
          <w:color w:val="auto"/>
        </w:rPr>
      </w:pPr>
      <w:r>
        <w:rPr>
          <w:rFonts w:hint="eastAsia" w:ascii="仿宋" w:hAnsi="仿宋" w:eastAsia="仿宋" w:cs="仿宋"/>
          <w:color w:val="auto"/>
          <w:sz w:val="32"/>
          <w:szCs w:val="32"/>
          <w:shd w:val="clear" w:color="auto" w:fill="FFFFFF"/>
        </w:rPr>
        <w:t>  202</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年9月</w:t>
      </w:r>
      <w:r>
        <w:rPr>
          <w:rFonts w:hint="eastAsia" w:ascii="仿宋" w:hAnsi="仿宋" w:eastAsia="仿宋" w:cs="仿宋"/>
          <w:color w:val="auto"/>
          <w:sz w:val="32"/>
          <w:szCs w:val="32"/>
          <w:shd w:val="clear" w:color="auto" w:fill="FFFFFF"/>
          <w:lang w:val="en-US" w:eastAsia="zh-CN"/>
        </w:rPr>
        <w:t>15</w:t>
      </w:r>
      <w:r>
        <w:rPr>
          <w:rFonts w:hint="eastAsia" w:ascii="仿宋" w:hAnsi="仿宋" w:eastAsia="仿宋" w:cs="仿宋"/>
          <w:color w:val="auto"/>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2010601030101010101"/>
    <w:charset w:val="86"/>
    <w:family w:val="script"/>
    <w:pitch w:val="default"/>
    <w:sig w:usb0="00000000" w:usb1="00000000" w:usb2="00000000" w:usb3="00000000" w:csb0="00040000" w:csb1="00000000"/>
  </w:font>
  <w:font w:name="方正仿宋简体">
    <w:panose1 w:val="03000509000000000000"/>
    <w:charset w:val="86"/>
    <w:family w:val="auto"/>
    <w:pitch w:val="default"/>
    <w:sig w:usb0="00000000" w:usb1="00000000" w:usb2="00000000" w:usb3="00000000" w:csb0="00000000" w:csb1="00000000"/>
  </w:font>
  <w:font w:name="仿宋_GB2312">
    <w:panose1 w:val="02010609030101010101"/>
    <w:charset w:val="00"/>
    <w:family w:val="auto"/>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66FE89"/>
    <w:multiLevelType w:val="singleLevel"/>
    <w:tmpl w:val="AB66FE89"/>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7E490C"/>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36F98C7"/>
    <w:rsid w:val="15EE7752"/>
    <w:rsid w:val="17427E68"/>
    <w:rsid w:val="1755065F"/>
    <w:rsid w:val="1A6C0171"/>
    <w:rsid w:val="1AFC29C9"/>
    <w:rsid w:val="1CA52F2E"/>
    <w:rsid w:val="1DFE370B"/>
    <w:rsid w:val="1E2C65A6"/>
    <w:rsid w:val="1E3630B9"/>
    <w:rsid w:val="1F324FF6"/>
    <w:rsid w:val="206570F1"/>
    <w:rsid w:val="26EEC2B5"/>
    <w:rsid w:val="27430A82"/>
    <w:rsid w:val="29472309"/>
    <w:rsid w:val="2B406E77"/>
    <w:rsid w:val="2C0316B4"/>
    <w:rsid w:val="2C2A0C43"/>
    <w:rsid w:val="2D1E73A5"/>
    <w:rsid w:val="31181B42"/>
    <w:rsid w:val="32717154"/>
    <w:rsid w:val="34B63260"/>
    <w:rsid w:val="37FDA7E2"/>
    <w:rsid w:val="380415F8"/>
    <w:rsid w:val="3A314D88"/>
    <w:rsid w:val="3A746883"/>
    <w:rsid w:val="3CA15DE9"/>
    <w:rsid w:val="3D7E34BF"/>
    <w:rsid w:val="3E2A3B92"/>
    <w:rsid w:val="3FE61EE5"/>
    <w:rsid w:val="406508EE"/>
    <w:rsid w:val="407B79F3"/>
    <w:rsid w:val="408D6263"/>
    <w:rsid w:val="41B40CEE"/>
    <w:rsid w:val="42E25AA5"/>
    <w:rsid w:val="46D06CF6"/>
    <w:rsid w:val="48317291"/>
    <w:rsid w:val="485F7024"/>
    <w:rsid w:val="48E70666"/>
    <w:rsid w:val="4AC547AC"/>
    <w:rsid w:val="4C6877E5"/>
    <w:rsid w:val="4D6A468D"/>
    <w:rsid w:val="4EA86137"/>
    <w:rsid w:val="54FE1EF4"/>
    <w:rsid w:val="56CA7FD0"/>
    <w:rsid w:val="57FA38D1"/>
    <w:rsid w:val="598A17F1"/>
    <w:rsid w:val="5E28022A"/>
    <w:rsid w:val="5F7D3333"/>
    <w:rsid w:val="603019D3"/>
    <w:rsid w:val="610B2B5B"/>
    <w:rsid w:val="61385890"/>
    <w:rsid w:val="64151F5F"/>
    <w:rsid w:val="6504510C"/>
    <w:rsid w:val="67D0166A"/>
    <w:rsid w:val="687436E1"/>
    <w:rsid w:val="6DA45C50"/>
    <w:rsid w:val="6E9A7825"/>
    <w:rsid w:val="6EC50FAB"/>
    <w:rsid w:val="6F670F9B"/>
    <w:rsid w:val="6FF94BFA"/>
    <w:rsid w:val="71C21431"/>
    <w:rsid w:val="737450E0"/>
    <w:rsid w:val="73777264"/>
    <w:rsid w:val="74054476"/>
    <w:rsid w:val="742F38C4"/>
    <w:rsid w:val="74AB66DC"/>
    <w:rsid w:val="74C4154C"/>
    <w:rsid w:val="7553487F"/>
    <w:rsid w:val="75956FFF"/>
    <w:rsid w:val="77AA2D01"/>
    <w:rsid w:val="78A24211"/>
    <w:rsid w:val="79717520"/>
    <w:rsid w:val="7A680B27"/>
    <w:rsid w:val="7CDE1DBD"/>
    <w:rsid w:val="7D943A85"/>
    <w:rsid w:val="7DB0448C"/>
    <w:rsid w:val="7E5F9AA4"/>
    <w:rsid w:val="7F3F1785"/>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styleId="7">
    <w:name w:val="annotation subject"/>
    <w:basedOn w:val="2"/>
    <w:next w:val="2"/>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2"/>
    <w:qFormat/>
    <w:uiPriority w:val="0"/>
    <w:rPr>
      <w:kern w:val="2"/>
      <w:sz w:val="21"/>
      <w:szCs w:val="24"/>
    </w:rPr>
  </w:style>
  <w:style w:type="character" w:customStyle="1" w:styleId="13">
    <w:name w:val="批注框文本 Char"/>
    <w:link w:val="3"/>
    <w:qFormat/>
    <w:uiPriority w:val="0"/>
    <w:rPr>
      <w:kern w:val="2"/>
      <w:sz w:val="18"/>
      <w:szCs w:val="18"/>
    </w:rPr>
  </w:style>
  <w:style w:type="character" w:customStyle="1" w:styleId="14">
    <w:name w:val="页眉 Char"/>
    <w:link w:val="5"/>
    <w:qFormat/>
    <w:uiPriority w:val="0"/>
    <w:rPr>
      <w:kern w:val="2"/>
      <w:sz w:val="18"/>
      <w:szCs w:val="18"/>
    </w:rPr>
  </w:style>
  <w:style w:type="character" w:customStyle="1" w:styleId="15">
    <w:name w:val="批注主题 Char"/>
    <w:link w:val="7"/>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8</TotalTime>
  <ScaleCrop>false</ScaleCrop>
  <LinksUpToDate>false</LinksUpToDate>
  <CharactersWithSpaces>10549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2025-09-16T09:08:54Z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