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880" w:firstLineChars="200"/>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中共那曲市委员会巡察工作领导小组</w:t>
      </w: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办公室</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w:t>
      </w: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部门预算</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jc w:val="center"/>
        <w:textAlignment w:val="auto"/>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2025</w:t>
      </w:r>
      <w:r>
        <w:rPr>
          <w:rFonts w:hint="default" w:ascii="Times New Roman" w:hAnsi="Times New Roman" w:eastAsia="方正仿宋简体" w:cs="Times New Roman"/>
          <w:sz w:val="32"/>
          <w:szCs w:val="32"/>
        </w:rPr>
        <w:t>年</w:t>
      </w: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rPr>
        <w:t>月</w:t>
      </w:r>
      <w:r>
        <w:rPr>
          <w:rFonts w:hint="eastAsia" w:eastAsia="方正仿宋简体" w:cs="Times New Roman"/>
          <w:sz w:val="32"/>
          <w:szCs w:val="32"/>
          <w:lang w:val="en-US" w:eastAsia="zh-CN"/>
        </w:rPr>
        <w:t>18</w:t>
      </w:r>
      <w:r>
        <w:rPr>
          <w:rFonts w:hint="default" w:ascii="Times New Roman" w:hAnsi="Times New Roman" w:eastAsia="方正仿宋简体" w:cs="Times New Roman"/>
          <w:sz w:val="32"/>
          <w:szCs w:val="32"/>
        </w:rPr>
        <w:t>日</w:t>
      </w: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default" w:ascii="Times New Roman" w:hAnsi="Times New Roman" w:eastAsia="方正仿宋简体" w:cs="Times New Roman"/>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default" w:ascii="Times New Roman" w:hAnsi="Times New Roman" w:eastAsia="方正仿宋简体" w:cs="Times New Roman"/>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default" w:ascii="Times New Roman" w:hAnsi="Times New Roman" w:eastAsia="方正仿宋简体" w:cs="Times New Roman"/>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default" w:ascii="Times New Roman" w:hAnsi="Times New Roman" w:eastAsia="方正仿宋简体" w:cs="Times New Roman"/>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default" w:ascii="Times New Roman" w:hAnsi="Times New Roman" w:eastAsia="方正仿宋简体" w:cs="Times New Roman"/>
          <w:sz w:val="44"/>
          <w:szCs w:val="44"/>
        </w:rPr>
      </w:pPr>
    </w:p>
    <w:p>
      <w:pPr>
        <w:keepNext w:val="0"/>
        <w:keepLines w:val="0"/>
        <w:pageBreakBefore w:val="0"/>
        <w:widowControl w:val="0"/>
        <w:kinsoku/>
        <w:wordWrap/>
        <w:overflowPunct/>
        <w:topLinePunct w:val="0"/>
        <w:bidi w:val="0"/>
        <w:snapToGrid/>
        <w:spacing w:line="576" w:lineRule="exact"/>
        <w:jc w:val="both"/>
        <w:textAlignment w:val="auto"/>
        <w:rPr>
          <w:rFonts w:hint="default" w:ascii="Times New Roman" w:hAnsi="Times New Roman" w:eastAsia="方正仿宋简体" w:cs="Times New Roman"/>
          <w:sz w:val="44"/>
          <w:szCs w:val="44"/>
        </w:rPr>
      </w:pPr>
    </w:p>
    <w:p>
      <w:pPr>
        <w:keepNext w:val="0"/>
        <w:keepLines w:val="0"/>
        <w:pageBreakBefore w:val="0"/>
        <w:widowControl w:val="0"/>
        <w:kinsoku/>
        <w:wordWrap/>
        <w:overflowPunct/>
        <w:topLinePunct w:val="0"/>
        <w:bidi w:val="0"/>
        <w:snapToGrid/>
        <w:spacing w:line="576" w:lineRule="exact"/>
        <w:jc w:val="both"/>
        <w:textAlignment w:val="auto"/>
        <w:rPr>
          <w:rFonts w:hint="default" w:ascii="Times New Roman" w:hAnsi="Times New Roman" w:eastAsia="方正仿宋简体" w:cs="Times New Roman"/>
          <w:sz w:val="44"/>
          <w:szCs w:val="44"/>
        </w:rPr>
      </w:pPr>
    </w:p>
    <w:p>
      <w:pPr>
        <w:keepNext w:val="0"/>
        <w:keepLines w:val="0"/>
        <w:pageBreakBefore w:val="0"/>
        <w:widowControl w:val="0"/>
        <w:kinsoku/>
        <w:wordWrap/>
        <w:overflowPunct/>
        <w:topLinePunct w:val="0"/>
        <w:bidi w:val="0"/>
        <w:snapToGrid/>
        <w:spacing w:line="576" w:lineRule="exact"/>
        <w:ind w:firstLine="3520" w:firstLineChars="8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方正黑体简体" w:hAnsi="方正黑体简体" w:eastAsia="方正黑体简体" w:cs="方正黑体简体"/>
          <w:sz w:val="32"/>
          <w:szCs w:val="32"/>
          <w:lang w:eastAsia="zh-CN"/>
        </w:rPr>
      </w:pPr>
      <w:r>
        <w:rPr>
          <w:rFonts w:hint="eastAsia" w:ascii="方正黑体简体" w:hAnsi="方正黑体简体" w:eastAsia="方正黑体简体" w:cs="方正黑体简体"/>
          <w:sz w:val="32"/>
          <w:szCs w:val="32"/>
        </w:rPr>
        <w:t xml:space="preserve">第一部分  </w:t>
      </w:r>
      <w:r>
        <w:rPr>
          <w:rFonts w:hint="eastAsia" w:ascii="方正黑体简体" w:hAnsi="方正黑体简体" w:eastAsia="方正黑体简体" w:cs="方正黑体简体"/>
          <w:sz w:val="32"/>
          <w:szCs w:val="32"/>
          <w:lang w:eastAsia="zh-CN"/>
        </w:rPr>
        <w:t>中共那曲市委员会巡察工作领导小组</w:t>
      </w:r>
    </w:p>
    <w:p>
      <w:pPr>
        <w:keepNext w:val="0"/>
        <w:keepLines w:val="0"/>
        <w:pageBreakBefore w:val="0"/>
        <w:widowControl w:val="0"/>
        <w:kinsoku/>
        <w:wordWrap/>
        <w:overflowPunct/>
        <w:topLinePunct w:val="0"/>
        <w:bidi w:val="0"/>
        <w:snapToGrid/>
        <w:spacing w:line="576" w:lineRule="exact"/>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办公室</w:t>
      </w:r>
      <w:r>
        <w:rPr>
          <w:rFonts w:hint="eastAsia" w:ascii="方正黑体简体" w:hAnsi="方正黑体简体" w:eastAsia="方正黑体简体" w:cs="方正黑体简体"/>
          <w:sz w:val="32"/>
          <w:szCs w:val="32"/>
        </w:rPr>
        <w:t>概况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一、主要职能</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二、部门机构设置情况</w:t>
      </w:r>
    </w:p>
    <w:p>
      <w:pPr>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第二部分 </w:t>
      </w:r>
      <w:r>
        <w:rPr>
          <w:rFonts w:hint="eastAsia" w:ascii="方正黑体简体" w:hAnsi="方正黑体简体" w:eastAsia="方正黑体简体" w:cs="方正黑体简体"/>
          <w:sz w:val="32"/>
          <w:szCs w:val="32"/>
          <w:lang w:val="en-US" w:eastAsia="zh-CN"/>
        </w:rPr>
        <w:t xml:space="preserve"> 中共那曲市委员会巡察工作领导小组办公室</w:t>
      </w:r>
      <w:r>
        <w:rPr>
          <w:rFonts w:hint="eastAsia" w:ascii="方正黑体简体" w:hAnsi="方正黑体简体" w:eastAsia="方正黑体简体" w:cs="方正黑体简体"/>
          <w:sz w:val="32"/>
          <w:szCs w:val="32"/>
        </w:rPr>
        <w:t>预算明细表</w:t>
      </w:r>
    </w:p>
    <w:p>
      <w:pPr>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 xml:space="preserve">第三部分 </w:t>
      </w:r>
      <w:r>
        <w:rPr>
          <w:rFonts w:hint="eastAsia" w:ascii="方正黑体简体" w:hAnsi="方正黑体简体" w:eastAsia="方正黑体简体" w:cs="方正黑体简体"/>
          <w:sz w:val="32"/>
          <w:szCs w:val="32"/>
          <w:lang w:val="en-US" w:eastAsia="zh-CN"/>
        </w:rPr>
        <w:t xml:space="preserve"> 中共那曲市委员会巡察工作领导小组办公室</w:t>
      </w:r>
      <w:r>
        <w:rPr>
          <w:rFonts w:hint="eastAsia" w:ascii="方正黑体简体" w:hAnsi="方正黑体简体" w:eastAsia="方正黑体简体" w:cs="方正黑体简体"/>
          <w:sz w:val="32"/>
          <w:szCs w:val="32"/>
        </w:rPr>
        <w:t>预算数据分析</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一、部门收支总体情况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二、部门收入总体情况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三、部门支出总体情况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四、财政拨款收支总体情况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五、一般公共预算支出总体情况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六、一般公共预算基本支出总体情况（按经济分类款级科目）</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七、一般公共预算“三公”经费支出总体情况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八、政府性基金预算支出总体情况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九、政府性基金“三公”经费支出总体情况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十、其他重要事项情况说明</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第四部分  名词解释</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第一部分</w:t>
      </w: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中共那曲市委员会巡察工作领导小组</w:t>
      </w: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办公室</w:t>
      </w:r>
      <w:r>
        <w:rPr>
          <w:rFonts w:hint="eastAsia" w:ascii="方正小标宋简体" w:hAnsi="方正小标宋简体" w:eastAsia="方正小标宋简体" w:cs="方正小标宋简体"/>
          <w:sz w:val="44"/>
          <w:szCs w:val="44"/>
        </w:rPr>
        <w:t>概况</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方正仿宋简体" w:cs="Times New Roman"/>
          <w:sz w:val="32"/>
          <w:szCs w:val="32"/>
        </w:rPr>
      </w:pPr>
    </w:p>
    <w:p>
      <w:pPr>
        <w:keepNext w:val="0"/>
        <w:keepLines w:val="0"/>
        <w:pageBreakBefore w:val="0"/>
        <w:widowControl w:val="0"/>
        <w:numPr>
          <w:ilvl w:val="0"/>
          <w:numId w:val="1"/>
        </w:numPr>
        <w:kinsoku/>
        <w:wordWrap/>
        <w:overflowPunct/>
        <w:topLinePunct w:val="0"/>
        <w:bidi w:val="0"/>
        <w:snapToGrid/>
        <w:spacing w:line="576"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主要职能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（一）部门职责。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val="0"/>
          <w:bCs w:val="0"/>
          <w:sz w:val="32"/>
          <w:szCs w:val="32"/>
          <w:lang w:val="en-US" w:eastAsia="zh-CN"/>
        </w:rPr>
        <w:t>市委巡察办的主要职责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贯彻落实中央、自治区党委、市委及市委巡察工作领导小组的决策部署。向区党委巡视工作领导小组办公室和市委巡察工作领导小组报告工作情况。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统筹、协调、指导市委巡察组开展工作。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承担巡察工作政策研究、制度建设、服务保障等工作，组织起草市委巡察工作规划、年度工作计划和年度工作总结等重要材料。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对市委和市委巡察工作领导小组决定的事项、巡察整改工作、移交问题线索及事项等进行督办。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指导县（区）党委开展巡察工作，指导县（区）委巡察工作联络组工作。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负责巡察数据分析、信息处理和宣传公开工作。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配合有关部门对巡察工作人员进行培训、考核、调配、任免、监督和管理。</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rPr>
        <w:t>完成市委和市委巡察工作领导小组交办的其他任务。</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方正黑体简体" w:hAnsi="方正黑体简体" w:eastAsia="方正黑体简体" w:cs="方正黑体简体"/>
          <w:sz w:val="32"/>
          <w:szCs w:val="32"/>
        </w:rPr>
        <w:t>二、部门机构设置情况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市委巡察办设</w:t>
      </w:r>
      <w:r>
        <w:rPr>
          <w:rFonts w:hint="default" w:ascii="Times New Roman" w:hAnsi="Times New Roman" w:eastAsia="方正仿宋简体" w:cs="Times New Roman"/>
          <w:sz w:val="32"/>
          <w:szCs w:val="32"/>
          <w:lang w:val="en-US" w:eastAsia="zh-CN"/>
        </w:rPr>
        <w:t>8个</w:t>
      </w:r>
      <w:r>
        <w:rPr>
          <w:rFonts w:hint="default" w:ascii="Times New Roman" w:hAnsi="Times New Roman" w:eastAsia="方正仿宋简体" w:cs="Times New Roman"/>
          <w:sz w:val="32"/>
          <w:szCs w:val="32"/>
        </w:rPr>
        <w:t>内设机构：综合科</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秘书科</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督查科</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巡察工作指导科</w:t>
      </w:r>
      <w:r>
        <w:rPr>
          <w:rFonts w:hint="default" w:ascii="Times New Roman" w:hAnsi="Times New Roman" w:eastAsia="方正仿宋简体" w:cs="Times New Roman"/>
          <w:sz w:val="32"/>
          <w:szCs w:val="32"/>
          <w:lang w:eastAsia="zh-CN"/>
        </w:rPr>
        <w:t>、数据应用中心、</w:t>
      </w:r>
      <w:r>
        <w:rPr>
          <w:rFonts w:hint="default" w:ascii="Times New Roman" w:hAnsi="Times New Roman" w:eastAsia="方正仿宋简体" w:cs="Times New Roman"/>
          <w:sz w:val="32"/>
          <w:szCs w:val="32"/>
        </w:rPr>
        <w:t>市委常设3个巡察组</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880" w:firstLineChars="200"/>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w:t>
      </w: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中共那曲市委员会巡察工作领导小组</w:t>
      </w: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办公室</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年度预算明细表</w:t>
      </w: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（表格详见附件）</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w:t>
      </w: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中共那曲市委员会巡察工作领导小组</w:t>
      </w: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办公室</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年度部门</w:t>
      </w: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预算数据分析</w:t>
      </w:r>
    </w:p>
    <w:p>
      <w:pPr>
        <w:keepNext w:val="0"/>
        <w:keepLines w:val="0"/>
        <w:pageBreakBefore w:val="0"/>
        <w:widowControl w:val="0"/>
        <w:kinsoku/>
        <w:wordWrap/>
        <w:overflowPunct/>
        <w:topLinePunct w:val="0"/>
        <w:bidi w:val="0"/>
        <w:snapToGrid/>
        <w:spacing w:line="576" w:lineRule="exact"/>
        <w:ind w:firstLine="640" w:firstLineChars="200"/>
        <w:jc w:val="center"/>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一、部门收支总体情况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收支总预算</w:t>
      </w:r>
      <w:r>
        <w:rPr>
          <w:rFonts w:hint="eastAsia" w:eastAsia="方正仿宋简体" w:cs="Times New Roman"/>
          <w:sz w:val="32"/>
          <w:szCs w:val="32"/>
          <w:lang w:val="en-US" w:eastAsia="zh-CN"/>
        </w:rPr>
        <w:t>2029.33</w:t>
      </w:r>
      <w:r>
        <w:rPr>
          <w:rFonts w:hint="default" w:ascii="Times New Roman" w:hAnsi="Times New Roman" w:eastAsia="方正仿宋简体" w:cs="Times New Roman"/>
          <w:sz w:val="32"/>
          <w:szCs w:val="32"/>
        </w:rPr>
        <w:t>万元。收入包括：一般公共预算拨款收入</w:t>
      </w:r>
      <w:r>
        <w:rPr>
          <w:rFonts w:hint="eastAsia" w:eastAsia="方正仿宋简体" w:cs="Times New Roman"/>
          <w:sz w:val="32"/>
          <w:szCs w:val="32"/>
          <w:lang w:val="en-US" w:eastAsia="zh-CN"/>
        </w:rPr>
        <w:t>2029.33</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、上年结转</w:t>
      </w:r>
      <w:r>
        <w:rPr>
          <w:rFonts w:hint="eastAsia" w:eastAsia="方正仿宋简体" w:cs="Times New Roman"/>
          <w:sz w:val="32"/>
          <w:szCs w:val="32"/>
          <w:lang w:val="en-US" w:eastAsia="zh-CN"/>
        </w:rPr>
        <w:t>0</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；支出包括：一般公共服务支出</w:t>
      </w:r>
      <w:r>
        <w:rPr>
          <w:rFonts w:hint="eastAsia" w:eastAsia="方正仿宋简体" w:cs="Times New Roman"/>
          <w:sz w:val="32"/>
          <w:szCs w:val="32"/>
          <w:lang w:val="en-US" w:eastAsia="zh-CN"/>
        </w:rPr>
        <w:t>1656.78</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、社会保障和就业支出</w:t>
      </w:r>
      <w:r>
        <w:rPr>
          <w:rFonts w:hint="eastAsia" w:eastAsia="方正仿宋简体" w:cs="Times New Roman"/>
          <w:sz w:val="32"/>
          <w:szCs w:val="32"/>
          <w:lang w:val="en-US" w:eastAsia="zh-CN"/>
        </w:rPr>
        <w:t>154.77</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、卫生健康支出</w:t>
      </w:r>
      <w:r>
        <w:rPr>
          <w:rFonts w:hint="eastAsia" w:eastAsia="方正仿宋简体" w:cs="Times New Roman"/>
          <w:sz w:val="32"/>
          <w:szCs w:val="32"/>
          <w:lang w:val="en-US" w:eastAsia="zh-CN"/>
        </w:rPr>
        <w:t>100.72</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、住房保障支出</w:t>
      </w:r>
      <w:r>
        <w:rPr>
          <w:rFonts w:hint="eastAsia" w:eastAsia="方正仿宋简体" w:cs="Times New Roman"/>
          <w:sz w:val="32"/>
          <w:szCs w:val="32"/>
          <w:lang w:val="en-US" w:eastAsia="zh-CN"/>
        </w:rPr>
        <w:t>117.05</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二、部门收入总体情况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收入预算总量</w:t>
      </w:r>
      <w:r>
        <w:rPr>
          <w:rFonts w:hint="eastAsia" w:eastAsia="方正仿宋简体" w:cs="Times New Roman"/>
          <w:sz w:val="32"/>
          <w:szCs w:val="32"/>
          <w:lang w:val="en-US" w:eastAsia="zh-CN"/>
        </w:rPr>
        <w:t>2029.33</w:t>
      </w:r>
      <w:r>
        <w:rPr>
          <w:rFonts w:hint="default" w:ascii="Times New Roman" w:hAnsi="Times New Roman" w:eastAsia="方正仿宋简体" w:cs="Times New Roman"/>
          <w:sz w:val="32"/>
          <w:szCs w:val="32"/>
        </w:rPr>
        <w:t>万元，</w:t>
      </w:r>
      <w:r>
        <w:rPr>
          <w:rFonts w:hint="eastAsia" w:eastAsia="方正仿宋简体" w:cs="Times New Roman"/>
          <w:sz w:val="32"/>
          <w:szCs w:val="32"/>
          <w:lang w:eastAsia="zh-CN"/>
        </w:rPr>
        <w:t>同比增加</w:t>
      </w:r>
      <w:r>
        <w:rPr>
          <w:rFonts w:hint="eastAsia" w:eastAsia="方正仿宋简体" w:cs="Times New Roman"/>
          <w:sz w:val="32"/>
          <w:szCs w:val="32"/>
          <w:lang w:val="en-US" w:eastAsia="zh-CN"/>
        </w:rPr>
        <w:t>2029.33</w:t>
      </w:r>
      <w:r>
        <w:rPr>
          <w:rFonts w:hint="default" w:ascii="Times New Roman" w:hAnsi="Times New Roman" w:eastAsia="方正仿宋简体" w:cs="Times New Roman"/>
          <w:sz w:val="32"/>
          <w:szCs w:val="32"/>
        </w:rPr>
        <w:t>万元，同比</w:t>
      </w:r>
      <w:r>
        <w:rPr>
          <w:rFonts w:hint="eastAsia" w:eastAsia="方正仿宋简体" w:cs="Times New Roman"/>
          <w:sz w:val="32"/>
          <w:szCs w:val="32"/>
          <w:lang w:eastAsia="zh-CN"/>
        </w:rPr>
        <w:t>率</w:t>
      </w:r>
      <w:r>
        <w:rPr>
          <w:rFonts w:hint="eastAsia" w:eastAsia="方正仿宋简体" w:cs="Times New Roman"/>
          <w:sz w:val="32"/>
          <w:szCs w:val="32"/>
          <w:lang w:val="en-US" w:eastAsia="zh-CN"/>
        </w:rPr>
        <w:t>1000%，</w:t>
      </w:r>
      <w:r>
        <w:rPr>
          <w:rFonts w:hint="default" w:ascii="Times New Roman" w:hAnsi="Times New Roman" w:eastAsia="方正仿宋简体" w:cs="Times New Roman"/>
          <w:sz w:val="32"/>
          <w:szCs w:val="32"/>
        </w:rPr>
        <w:t>主要原因</w:t>
      </w:r>
      <w:r>
        <w:rPr>
          <w:rFonts w:hint="eastAsia" w:eastAsia="方正仿宋简体" w:cs="Times New Roman"/>
          <w:sz w:val="32"/>
          <w:szCs w:val="32"/>
          <w:lang w:eastAsia="zh-CN"/>
        </w:rPr>
        <w:t>是</w:t>
      </w:r>
      <w:r>
        <w:rPr>
          <w:rFonts w:hint="default" w:ascii="Times New Roman" w:hAnsi="Times New Roman" w:eastAsia="方正仿宋简体" w:cs="Times New Roman"/>
          <w:sz w:val="32"/>
          <w:szCs w:val="32"/>
        </w:rPr>
        <w:t>：</w:t>
      </w:r>
      <w:r>
        <w:rPr>
          <w:rFonts w:hint="eastAsia" w:eastAsia="方正仿宋简体" w:cs="Times New Roman"/>
          <w:sz w:val="32"/>
          <w:szCs w:val="32"/>
          <w:lang w:val="en-US" w:eastAsia="zh-CN"/>
        </w:rPr>
        <w:t>2025年根据那曲市财政局要求，那曲市纪委监委和市委巡察办独立核算，导致今年收入增加</w:t>
      </w:r>
      <w:r>
        <w:rPr>
          <w:rFonts w:hint="eastAsia" w:eastAsia="方正仿宋简体" w:cs="Times New Roman"/>
          <w:sz w:val="32"/>
          <w:szCs w:val="32"/>
          <w:lang w:eastAsia="zh-CN"/>
        </w:rPr>
        <w:t>。</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三、部门支出总体情况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支出预算总量</w:t>
      </w:r>
      <w:r>
        <w:rPr>
          <w:rFonts w:hint="eastAsia" w:eastAsia="方正仿宋简体" w:cs="Times New Roman"/>
          <w:sz w:val="32"/>
          <w:szCs w:val="32"/>
          <w:lang w:val="en-US" w:eastAsia="zh-CN"/>
        </w:rPr>
        <w:t>2029.33</w:t>
      </w:r>
      <w:r>
        <w:rPr>
          <w:rFonts w:hint="default" w:ascii="Times New Roman" w:hAnsi="Times New Roman" w:eastAsia="方正仿宋简体" w:cs="Times New Roman"/>
          <w:sz w:val="32"/>
          <w:szCs w:val="32"/>
        </w:rPr>
        <w:t>万元，</w:t>
      </w:r>
      <w:r>
        <w:rPr>
          <w:rFonts w:hint="eastAsia" w:eastAsia="方正仿宋简体" w:cs="Times New Roman"/>
          <w:sz w:val="32"/>
          <w:szCs w:val="32"/>
          <w:lang w:eastAsia="zh-CN"/>
        </w:rPr>
        <w:t>同比增加</w:t>
      </w:r>
      <w:r>
        <w:rPr>
          <w:rFonts w:hint="eastAsia" w:eastAsia="方正仿宋简体" w:cs="Times New Roman"/>
          <w:sz w:val="32"/>
          <w:szCs w:val="32"/>
          <w:lang w:val="en-US" w:eastAsia="zh-CN"/>
        </w:rPr>
        <w:t>2029.33</w:t>
      </w:r>
      <w:r>
        <w:rPr>
          <w:rFonts w:hint="default" w:ascii="Times New Roman" w:hAnsi="Times New Roman" w:eastAsia="方正仿宋简体" w:cs="Times New Roman"/>
          <w:sz w:val="32"/>
          <w:szCs w:val="32"/>
        </w:rPr>
        <w:t>万元，同比</w:t>
      </w:r>
      <w:r>
        <w:rPr>
          <w:rFonts w:hint="eastAsia" w:eastAsia="方正仿宋简体" w:cs="Times New Roman"/>
          <w:sz w:val="32"/>
          <w:szCs w:val="32"/>
          <w:lang w:eastAsia="zh-CN"/>
        </w:rPr>
        <w:t>率</w:t>
      </w:r>
      <w:r>
        <w:rPr>
          <w:rFonts w:hint="eastAsia" w:eastAsia="方正仿宋简体" w:cs="Times New Roman"/>
          <w:sz w:val="32"/>
          <w:szCs w:val="32"/>
          <w:lang w:val="en-US" w:eastAsia="zh-CN"/>
        </w:rPr>
        <w:t>100%</w:t>
      </w:r>
      <w:r>
        <w:rPr>
          <w:rFonts w:hint="default" w:ascii="Times New Roman" w:hAnsi="Times New Roman" w:eastAsia="方正仿宋简体" w:cs="Times New Roman"/>
          <w:sz w:val="32"/>
          <w:szCs w:val="32"/>
        </w:rPr>
        <w:t>，主要原因</w:t>
      </w:r>
      <w:r>
        <w:rPr>
          <w:rFonts w:hint="eastAsia" w:eastAsia="方正仿宋简体" w:cs="Times New Roman"/>
          <w:sz w:val="32"/>
          <w:szCs w:val="32"/>
          <w:lang w:eastAsia="zh-CN"/>
        </w:rPr>
        <w:t>是：</w:t>
      </w:r>
      <w:r>
        <w:rPr>
          <w:rFonts w:hint="eastAsia" w:eastAsia="方正仿宋简体" w:cs="Times New Roman"/>
          <w:sz w:val="32"/>
          <w:szCs w:val="32"/>
          <w:lang w:val="en-US" w:eastAsia="zh-CN"/>
        </w:rPr>
        <w:t>2025年根据那曲市财政局要求，那曲市纪委监委和市委巡察办独立核算，导致支出预算总量增加</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其中：基本支出</w:t>
      </w:r>
      <w:r>
        <w:rPr>
          <w:rFonts w:hint="eastAsia" w:eastAsia="方正仿宋简体" w:cs="Times New Roman"/>
          <w:sz w:val="32"/>
          <w:szCs w:val="32"/>
          <w:lang w:val="en-US" w:eastAsia="zh-CN"/>
        </w:rPr>
        <w:t>1665.38</w:t>
      </w:r>
      <w:r>
        <w:rPr>
          <w:rFonts w:hint="default" w:ascii="Times New Roman" w:hAnsi="Times New Roman" w:eastAsia="方正仿宋简体" w:cs="Times New Roman"/>
          <w:sz w:val="32"/>
          <w:szCs w:val="32"/>
        </w:rPr>
        <w:t>元，</w:t>
      </w:r>
      <w:r>
        <w:rPr>
          <w:rFonts w:hint="eastAsia" w:eastAsia="方正仿宋简体" w:cs="Times New Roman"/>
          <w:sz w:val="32"/>
          <w:szCs w:val="32"/>
          <w:lang w:eastAsia="zh-CN"/>
        </w:rPr>
        <w:t>占</w:t>
      </w:r>
      <w:r>
        <w:rPr>
          <w:rFonts w:hint="eastAsia" w:eastAsia="方正仿宋简体" w:cs="Times New Roman"/>
          <w:sz w:val="32"/>
          <w:szCs w:val="32"/>
          <w:lang w:val="en-US" w:eastAsia="zh-CN"/>
        </w:rPr>
        <w:t>82%，</w:t>
      </w:r>
      <w:r>
        <w:rPr>
          <w:rFonts w:hint="default" w:ascii="Times New Roman" w:hAnsi="Times New Roman" w:eastAsia="方正仿宋简体" w:cs="Times New Roman"/>
          <w:sz w:val="32"/>
          <w:szCs w:val="32"/>
        </w:rPr>
        <w:t>项目支</w:t>
      </w:r>
      <w:r>
        <w:rPr>
          <w:rFonts w:hint="default" w:ascii="Times New Roman" w:hAnsi="Times New Roman" w:eastAsia="方正仿宋简体" w:cs="Times New Roman"/>
          <w:sz w:val="32"/>
          <w:szCs w:val="32"/>
          <w:lang w:eastAsia="zh-CN"/>
        </w:rPr>
        <w:t>出</w:t>
      </w:r>
      <w:r>
        <w:rPr>
          <w:rFonts w:hint="eastAsia" w:eastAsia="方正仿宋简体" w:cs="Times New Roman"/>
          <w:sz w:val="32"/>
          <w:szCs w:val="32"/>
          <w:lang w:val="en-US" w:eastAsia="zh-CN"/>
        </w:rPr>
        <w:t>363.95</w:t>
      </w:r>
      <w:r>
        <w:rPr>
          <w:rFonts w:hint="default" w:ascii="Times New Roman" w:hAnsi="Times New Roman" w:eastAsia="方正仿宋简体" w:cs="Times New Roman"/>
          <w:sz w:val="32"/>
          <w:szCs w:val="32"/>
        </w:rPr>
        <w:t>万元</w:t>
      </w:r>
      <w:r>
        <w:rPr>
          <w:rFonts w:hint="eastAsia" w:eastAsia="方正仿宋简体" w:cs="Times New Roman"/>
          <w:sz w:val="32"/>
          <w:szCs w:val="32"/>
          <w:lang w:eastAsia="zh-CN"/>
        </w:rPr>
        <w:t>，占</w:t>
      </w:r>
      <w:r>
        <w:rPr>
          <w:rFonts w:hint="eastAsia" w:eastAsia="方正仿宋简体" w:cs="Times New Roman"/>
          <w:sz w:val="32"/>
          <w:szCs w:val="32"/>
          <w:lang w:val="en-US" w:eastAsia="zh-CN"/>
        </w:rPr>
        <w:t>18%</w:t>
      </w:r>
      <w:r>
        <w:rPr>
          <w:rFonts w:hint="default" w:ascii="Times New Roman" w:hAnsi="Times New Roman" w:eastAsia="方正仿宋简体" w:cs="Times New Roman"/>
          <w:sz w:val="32"/>
          <w:szCs w:val="32"/>
        </w:rPr>
        <w:t>。</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四、财政拨款收支总体情况</w:t>
      </w:r>
    </w:p>
    <w:p>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财政拨款收支总预算</w:t>
      </w:r>
      <w:r>
        <w:rPr>
          <w:rFonts w:hint="eastAsia" w:eastAsia="方正仿宋简体" w:cs="Times New Roman"/>
          <w:sz w:val="32"/>
          <w:szCs w:val="32"/>
          <w:lang w:val="en-US" w:eastAsia="zh-CN"/>
        </w:rPr>
        <w:t>2029.33</w:t>
      </w:r>
      <w:r>
        <w:rPr>
          <w:rFonts w:hint="default" w:ascii="Times New Roman" w:hAnsi="Times New Roman" w:eastAsia="方正仿宋简体" w:cs="Times New Roman"/>
          <w:sz w:val="32"/>
          <w:szCs w:val="32"/>
        </w:rPr>
        <w:t>万元，同比</w:t>
      </w:r>
      <w:r>
        <w:rPr>
          <w:rFonts w:hint="eastAsia" w:eastAsia="方正仿宋简体" w:cs="Times New Roman"/>
          <w:sz w:val="32"/>
          <w:szCs w:val="32"/>
          <w:lang w:eastAsia="zh-CN"/>
        </w:rPr>
        <w:t>增加</w:t>
      </w:r>
      <w:r>
        <w:rPr>
          <w:rFonts w:hint="eastAsia" w:eastAsia="方正仿宋简体" w:cs="Times New Roman"/>
          <w:sz w:val="32"/>
          <w:szCs w:val="32"/>
          <w:lang w:val="en-US" w:eastAsia="zh-CN"/>
        </w:rPr>
        <w:t>2029.33</w:t>
      </w:r>
      <w:r>
        <w:rPr>
          <w:rFonts w:hint="default" w:ascii="Times New Roman" w:hAnsi="Times New Roman" w:eastAsia="方正仿宋简体" w:cs="Times New Roman"/>
          <w:sz w:val="32"/>
          <w:szCs w:val="32"/>
        </w:rPr>
        <w:t>万元，主要原因</w:t>
      </w:r>
      <w:r>
        <w:rPr>
          <w:rFonts w:hint="eastAsia" w:eastAsia="方正仿宋简体" w:cs="Times New Roman"/>
          <w:sz w:val="32"/>
          <w:szCs w:val="32"/>
          <w:lang w:eastAsia="zh-CN"/>
        </w:rPr>
        <w:t>是</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2025年</w:t>
      </w:r>
      <w:r>
        <w:rPr>
          <w:rFonts w:hint="eastAsia" w:eastAsia="方正仿宋简体" w:cs="Times New Roman"/>
          <w:sz w:val="32"/>
          <w:szCs w:val="32"/>
          <w:lang w:val="en-US" w:eastAsia="zh-CN"/>
        </w:rPr>
        <w:t>根据</w:t>
      </w:r>
      <w:r>
        <w:rPr>
          <w:rFonts w:hint="default" w:ascii="Times New Roman" w:hAnsi="Times New Roman" w:eastAsia="方正仿宋简体" w:cs="Times New Roman"/>
          <w:sz w:val="32"/>
          <w:szCs w:val="32"/>
          <w:lang w:val="en-US" w:eastAsia="zh-CN"/>
        </w:rPr>
        <w:t>那曲市财政局要求，那曲市纪委监委和市委巡察办独立核算</w:t>
      </w:r>
      <w:r>
        <w:rPr>
          <w:rFonts w:hint="eastAsia" w:eastAsia="方正仿宋简体" w:cs="Times New Roman"/>
          <w:sz w:val="32"/>
          <w:szCs w:val="32"/>
          <w:lang w:val="en-US" w:eastAsia="zh-CN"/>
        </w:rPr>
        <w:t>，导致财政拨款收支增加</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收入包括：一般公共预算当年拨款收入</w:t>
      </w:r>
      <w:r>
        <w:rPr>
          <w:rFonts w:hint="eastAsia" w:eastAsia="方正仿宋简体" w:cs="Times New Roman"/>
          <w:sz w:val="32"/>
          <w:szCs w:val="32"/>
          <w:lang w:val="en-US" w:eastAsia="zh-CN"/>
        </w:rPr>
        <w:t>2029.33</w:t>
      </w:r>
      <w:r>
        <w:rPr>
          <w:rFonts w:hint="default" w:ascii="Times New Roman" w:hAnsi="Times New Roman" w:eastAsia="方正仿宋简体" w:cs="Times New Roman"/>
          <w:sz w:val="32"/>
          <w:szCs w:val="32"/>
        </w:rPr>
        <w:t>万元；支出包括：一般公共服务支出</w:t>
      </w:r>
      <w:r>
        <w:rPr>
          <w:rFonts w:hint="eastAsia" w:eastAsia="方正仿宋简体" w:cs="Times New Roman"/>
          <w:sz w:val="32"/>
          <w:szCs w:val="32"/>
          <w:lang w:val="en-US" w:eastAsia="zh-CN"/>
        </w:rPr>
        <w:t>1656.78</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、社会保障和就业支出</w:t>
      </w:r>
      <w:r>
        <w:rPr>
          <w:rFonts w:hint="eastAsia" w:eastAsia="方正仿宋简体" w:cs="Times New Roman"/>
          <w:sz w:val="32"/>
          <w:szCs w:val="32"/>
          <w:lang w:val="en-US" w:eastAsia="zh-CN"/>
        </w:rPr>
        <w:t>154.77</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、卫生健康支出</w:t>
      </w:r>
      <w:r>
        <w:rPr>
          <w:rFonts w:hint="eastAsia" w:eastAsia="方正仿宋简体" w:cs="Times New Roman"/>
          <w:sz w:val="32"/>
          <w:szCs w:val="32"/>
          <w:lang w:val="en-US" w:eastAsia="zh-CN"/>
        </w:rPr>
        <w:t>100.72</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、住房保障支出</w:t>
      </w:r>
      <w:r>
        <w:rPr>
          <w:rFonts w:hint="eastAsia" w:eastAsia="方正仿宋简体" w:cs="Times New Roman"/>
          <w:sz w:val="32"/>
          <w:szCs w:val="32"/>
          <w:lang w:val="en-US" w:eastAsia="zh-CN"/>
        </w:rPr>
        <w:t>117.05</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highlight w:val="none"/>
        </w:rPr>
      </w:pPr>
      <w:r>
        <w:rPr>
          <w:rFonts w:hint="default" w:ascii="方正黑体简体" w:hAnsi="方正黑体简体" w:eastAsia="方正黑体简体" w:cs="方正黑体简体"/>
          <w:sz w:val="32"/>
          <w:szCs w:val="32"/>
          <w:highlight w:val="none"/>
        </w:rPr>
        <w:t>五、一般公共预算支出总体情况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eastAsia" w:ascii="方正楷体简体" w:hAnsi="方正楷体简体" w:eastAsia="方正楷体简体" w:cs="方正楷体简体"/>
          <w:sz w:val="32"/>
          <w:szCs w:val="32"/>
          <w:highlight w:val="none"/>
        </w:rPr>
        <w:t>（一）一般公共预算当年拨款规模变化情况。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sz w:val="32"/>
          <w:szCs w:val="32"/>
          <w:highlight w:val="none"/>
        </w:rPr>
        <w:t>一般公共预算当年拨款</w:t>
      </w:r>
      <w:r>
        <w:rPr>
          <w:rFonts w:hint="eastAsia" w:eastAsia="方正仿宋简体" w:cs="Times New Roman"/>
          <w:sz w:val="32"/>
          <w:szCs w:val="32"/>
          <w:highlight w:val="none"/>
          <w:lang w:val="en-US" w:eastAsia="zh-CN"/>
        </w:rPr>
        <w:t>2029.33</w:t>
      </w:r>
      <w:r>
        <w:rPr>
          <w:rFonts w:hint="default" w:ascii="Times New Roman" w:hAnsi="Times New Roman" w:eastAsia="方正仿宋简体" w:cs="Times New Roman"/>
          <w:sz w:val="32"/>
          <w:szCs w:val="32"/>
          <w:highlight w:val="none"/>
        </w:rPr>
        <w:t>元</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color w:val="auto"/>
          <w:sz w:val="32"/>
          <w:szCs w:val="32"/>
          <w:highlight w:val="none"/>
        </w:rPr>
        <w:t>比202</w:t>
      </w:r>
      <w:r>
        <w:rPr>
          <w:rFonts w:hint="eastAsia" w:eastAsia="方正仿宋简体" w:cs="Times New Roman"/>
          <w:color w:val="auto"/>
          <w:sz w:val="32"/>
          <w:szCs w:val="32"/>
          <w:highlight w:val="none"/>
          <w:lang w:val="en-US" w:eastAsia="zh-CN"/>
        </w:rPr>
        <w:t>4</w:t>
      </w:r>
      <w:r>
        <w:rPr>
          <w:rFonts w:hint="default" w:ascii="Times New Roman" w:hAnsi="Times New Roman" w:eastAsia="方正仿宋简体" w:cs="Times New Roman"/>
          <w:color w:val="auto"/>
          <w:sz w:val="32"/>
          <w:szCs w:val="32"/>
          <w:highlight w:val="none"/>
        </w:rPr>
        <w:t>年执行数</w:t>
      </w:r>
      <w:r>
        <w:rPr>
          <w:rFonts w:hint="eastAsia" w:eastAsia="方正仿宋简体" w:cs="Times New Roman"/>
          <w:color w:val="auto"/>
          <w:sz w:val="32"/>
          <w:szCs w:val="32"/>
          <w:highlight w:val="none"/>
          <w:lang w:eastAsia="zh-CN"/>
        </w:rPr>
        <w:t>增加</w:t>
      </w:r>
      <w:r>
        <w:rPr>
          <w:rFonts w:hint="eastAsia" w:eastAsia="方正仿宋简体" w:cs="Times New Roman"/>
          <w:color w:val="auto"/>
          <w:sz w:val="32"/>
          <w:szCs w:val="32"/>
          <w:highlight w:val="none"/>
          <w:lang w:val="en-US" w:eastAsia="zh-CN"/>
        </w:rPr>
        <w:t>2029.33</w:t>
      </w:r>
      <w:r>
        <w:rPr>
          <w:rFonts w:hint="default" w:ascii="Times New Roman" w:hAnsi="Times New Roman" w:eastAsia="方正仿宋简体" w:cs="Times New Roman"/>
          <w:color w:val="auto"/>
          <w:sz w:val="32"/>
          <w:szCs w:val="32"/>
          <w:highlight w:val="none"/>
        </w:rPr>
        <w:t>万元，主要原因</w:t>
      </w:r>
      <w:r>
        <w:rPr>
          <w:rFonts w:hint="eastAsia" w:eastAsia="方正仿宋简体" w:cs="Times New Roman"/>
          <w:color w:val="auto"/>
          <w:sz w:val="32"/>
          <w:szCs w:val="32"/>
          <w:highlight w:val="none"/>
          <w:lang w:eastAsia="zh-CN"/>
        </w:rPr>
        <w:t>是</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sz w:val="32"/>
          <w:szCs w:val="32"/>
          <w:highlight w:val="none"/>
          <w:lang w:val="en-US" w:eastAsia="zh-CN"/>
        </w:rPr>
        <w:t>2025年</w:t>
      </w:r>
      <w:r>
        <w:rPr>
          <w:rFonts w:hint="eastAsia" w:eastAsia="方正仿宋简体" w:cs="Times New Roman"/>
          <w:sz w:val="32"/>
          <w:szCs w:val="32"/>
          <w:highlight w:val="none"/>
          <w:lang w:val="en-US" w:eastAsia="zh-CN"/>
        </w:rPr>
        <w:t>根据</w:t>
      </w:r>
      <w:r>
        <w:rPr>
          <w:rFonts w:hint="default" w:ascii="Times New Roman" w:hAnsi="Times New Roman" w:eastAsia="方正仿宋简体" w:cs="Times New Roman"/>
          <w:sz w:val="32"/>
          <w:szCs w:val="32"/>
          <w:highlight w:val="none"/>
          <w:lang w:val="en-US" w:eastAsia="zh-CN"/>
        </w:rPr>
        <w:t>那曲市财政局要求，那曲市纪委监委和市委巡察办独立核算</w:t>
      </w:r>
      <w:r>
        <w:rPr>
          <w:rFonts w:hint="eastAsia" w:eastAsia="方正仿宋简体" w:cs="Times New Roman"/>
          <w:sz w:val="32"/>
          <w:szCs w:val="32"/>
          <w:highlight w:val="none"/>
          <w:lang w:val="en-US" w:eastAsia="zh-CN"/>
        </w:rPr>
        <w:t>，导致一般公共预算增加</w:t>
      </w:r>
      <w:r>
        <w:rPr>
          <w:rFonts w:hint="default" w:ascii="Times New Roman" w:hAnsi="Times New Roman" w:eastAsia="方正仿宋简体" w:cs="Times New Roman"/>
          <w:color w:val="auto"/>
          <w:sz w:val="32"/>
          <w:szCs w:val="32"/>
          <w:highlight w:val="none"/>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rPr>
        <w:t>（二）一般公共预算当年拨款结构情况。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eastAsia="方正仿宋简体" w:cs="Times New Roman"/>
          <w:sz w:val="32"/>
          <w:szCs w:val="32"/>
          <w:highlight w:val="yellow"/>
          <w:lang w:eastAsia="zh-CN"/>
        </w:rPr>
      </w:pPr>
      <w:r>
        <w:rPr>
          <w:rFonts w:hint="default" w:ascii="Times New Roman" w:hAnsi="Times New Roman" w:eastAsia="方正仿宋简体" w:cs="Times New Roman"/>
          <w:sz w:val="32"/>
          <w:szCs w:val="32"/>
          <w:highlight w:val="none"/>
        </w:rPr>
        <w:t>一般公共预算当年拨款</w:t>
      </w:r>
      <w:r>
        <w:rPr>
          <w:rFonts w:hint="eastAsia" w:eastAsia="方正仿宋简体" w:cs="Times New Roman"/>
          <w:sz w:val="32"/>
          <w:szCs w:val="32"/>
          <w:highlight w:val="none"/>
          <w:lang w:val="en-US" w:eastAsia="zh-CN"/>
        </w:rPr>
        <w:t>2029.33</w:t>
      </w:r>
      <w:r>
        <w:rPr>
          <w:rFonts w:hint="default" w:ascii="Times New Roman" w:hAnsi="Times New Roman" w:eastAsia="方正仿宋简体" w:cs="Times New Roman"/>
          <w:sz w:val="32"/>
          <w:szCs w:val="32"/>
          <w:highlight w:val="none"/>
        </w:rPr>
        <w:t>万元</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主要用于以下方面：一般公共服务支出</w:t>
      </w:r>
      <w:r>
        <w:rPr>
          <w:rFonts w:hint="eastAsia" w:eastAsia="方正仿宋简体" w:cs="Times New Roman"/>
          <w:sz w:val="32"/>
          <w:szCs w:val="32"/>
          <w:highlight w:val="none"/>
          <w:lang w:val="en-US" w:eastAsia="zh-CN"/>
        </w:rPr>
        <w:t>1656.78</w:t>
      </w:r>
      <w:r>
        <w:rPr>
          <w:rFonts w:hint="default" w:ascii="Times New Roman" w:hAnsi="Times New Roman" w:eastAsia="方正仿宋简体" w:cs="Times New Roman"/>
          <w:sz w:val="32"/>
          <w:szCs w:val="32"/>
          <w:highlight w:val="none"/>
        </w:rPr>
        <w:t>万元，占</w:t>
      </w:r>
      <w:r>
        <w:rPr>
          <w:rFonts w:hint="eastAsia" w:eastAsia="方正仿宋简体" w:cs="Times New Roman"/>
          <w:sz w:val="32"/>
          <w:szCs w:val="32"/>
          <w:highlight w:val="none"/>
          <w:lang w:val="en-US" w:eastAsia="zh-CN"/>
        </w:rPr>
        <w:t>81.64</w:t>
      </w:r>
      <w:r>
        <w:rPr>
          <w:rFonts w:hint="default" w:ascii="Times New Roman" w:hAnsi="Times New Roman" w:eastAsia="方正仿宋简体" w:cs="Times New Roman"/>
          <w:sz w:val="32"/>
          <w:szCs w:val="32"/>
          <w:highlight w:val="none"/>
        </w:rPr>
        <w:t>%</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社会保</w:t>
      </w:r>
      <w:r>
        <w:rPr>
          <w:rFonts w:hint="default" w:ascii="Times New Roman" w:hAnsi="Times New Roman" w:eastAsia="方正仿宋简体" w:cs="Times New Roman"/>
          <w:sz w:val="32"/>
          <w:szCs w:val="32"/>
        </w:rPr>
        <w:t>障和就业支出</w:t>
      </w:r>
      <w:r>
        <w:rPr>
          <w:rFonts w:hint="eastAsia" w:eastAsia="方正仿宋简体" w:cs="Times New Roman"/>
          <w:sz w:val="32"/>
          <w:szCs w:val="32"/>
          <w:lang w:val="en-US" w:eastAsia="zh-CN"/>
        </w:rPr>
        <w:t>154.77</w:t>
      </w:r>
      <w:r>
        <w:rPr>
          <w:rFonts w:hint="default" w:ascii="Times New Roman" w:hAnsi="Times New Roman" w:eastAsia="方正仿宋简体" w:cs="Times New Roman"/>
          <w:sz w:val="32"/>
          <w:szCs w:val="32"/>
          <w:lang w:val="en-US" w:eastAsia="zh-CN"/>
        </w:rPr>
        <w:t>万元</w:t>
      </w:r>
      <w:r>
        <w:rPr>
          <w:rFonts w:hint="eastAsia" w:eastAsia="方正仿宋简体" w:cs="Times New Roman"/>
          <w:sz w:val="32"/>
          <w:szCs w:val="32"/>
          <w:lang w:eastAsia="zh-CN"/>
        </w:rPr>
        <w:t>，占</w:t>
      </w:r>
      <w:r>
        <w:rPr>
          <w:rFonts w:hint="eastAsia" w:eastAsia="方正仿宋简体" w:cs="Times New Roman"/>
          <w:sz w:val="32"/>
          <w:szCs w:val="32"/>
          <w:lang w:val="en-US" w:eastAsia="zh-CN"/>
        </w:rPr>
        <w:t>7.63%，</w:t>
      </w:r>
      <w:r>
        <w:rPr>
          <w:rFonts w:hint="default" w:ascii="Times New Roman" w:hAnsi="Times New Roman" w:eastAsia="方正仿宋简体" w:cs="Times New Roman"/>
          <w:sz w:val="32"/>
          <w:szCs w:val="32"/>
        </w:rPr>
        <w:t>卫生健康支出</w:t>
      </w:r>
      <w:r>
        <w:rPr>
          <w:rFonts w:hint="eastAsia" w:eastAsia="方正仿宋简体" w:cs="Times New Roman"/>
          <w:sz w:val="32"/>
          <w:szCs w:val="32"/>
          <w:lang w:val="en-US" w:eastAsia="zh-CN"/>
        </w:rPr>
        <w:t>100.72</w:t>
      </w:r>
      <w:r>
        <w:rPr>
          <w:rFonts w:hint="default" w:ascii="Times New Roman" w:hAnsi="Times New Roman" w:eastAsia="方正仿宋简体" w:cs="Times New Roman"/>
          <w:sz w:val="32"/>
          <w:szCs w:val="32"/>
          <w:lang w:val="en-US" w:eastAsia="zh-CN"/>
        </w:rPr>
        <w:t>万元</w:t>
      </w:r>
      <w:r>
        <w:rPr>
          <w:rFonts w:hint="eastAsia" w:eastAsia="方正仿宋简体" w:cs="Times New Roman"/>
          <w:sz w:val="32"/>
          <w:szCs w:val="32"/>
          <w:lang w:eastAsia="zh-CN"/>
        </w:rPr>
        <w:t>，占</w:t>
      </w:r>
      <w:r>
        <w:rPr>
          <w:rFonts w:hint="eastAsia" w:eastAsia="方正仿宋简体" w:cs="Times New Roman"/>
          <w:sz w:val="32"/>
          <w:szCs w:val="32"/>
          <w:lang w:val="en-US" w:eastAsia="zh-CN"/>
        </w:rPr>
        <w:t>4.96%，</w:t>
      </w:r>
      <w:r>
        <w:rPr>
          <w:rFonts w:hint="default" w:ascii="Times New Roman" w:hAnsi="Times New Roman" w:eastAsia="方正仿宋简体" w:cs="Times New Roman"/>
          <w:sz w:val="32"/>
          <w:szCs w:val="32"/>
        </w:rPr>
        <w:t>住房保障支出</w:t>
      </w:r>
      <w:r>
        <w:rPr>
          <w:rFonts w:hint="eastAsia" w:eastAsia="方正仿宋简体" w:cs="Times New Roman"/>
          <w:sz w:val="32"/>
          <w:szCs w:val="32"/>
          <w:lang w:val="en-US" w:eastAsia="zh-CN"/>
        </w:rPr>
        <w:t>117.05</w:t>
      </w:r>
      <w:r>
        <w:rPr>
          <w:rFonts w:hint="default" w:ascii="Times New Roman" w:hAnsi="Times New Roman" w:eastAsia="方正仿宋简体" w:cs="Times New Roman"/>
          <w:sz w:val="32"/>
          <w:szCs w:val="32"/>
          <w:lang w:val="en-US" w:eastAsia="zh-CN"/>
        </w:rPr>
        <w:t>万元</w:t>
      </w:r>
      <w:r>
        <w:rPr>
          <w:rFonts w:hint="eastAsia" w:eastAsia="方正仿宋简体" w:cs="Times New Roman"/>
          <w:sz w:val="32"/>
          <w:szCs w:val="32"/>
          <w:lang w:val="en-US" w:eastAsia="zh-CN"/>
        </w:rPr>
        <w:t>，占5.77%</w:t>
      </w:r>
      <w:r>
        <w:rPr>
          <w:rFonts w:hint="default" w:ascii="Times New Roman" w:hAnsi="Times New Roman" w:eastAsia="方正仿宋简体" w:cs="Times New Roman"/>
          <w:sz w:val="32"/>
          <w:szCs w:val="32"/>
        </w:rPr>
        <w:t>。</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六、一般公共预算基本支出总体情况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rPr>
        <w:t>年一般公共预算基本支出</w:t>
      </w:r>
      <w:r>
        <w:rPr>
          <w:rFonts w:hint="eastAsia" w:eastAsia="方正仿宋简体" w:cs="Times New Roman"/>
          <w:sz w:val="32"/>
          <w:szCs w:val="32"/>
          <w:lang w:val="en-US" w:eastAsia="zh-CN"/>
        </w:rPr>
        <w:t>1665.38</w:t>
      </w:r>
      <w:r>
        <w:rPr>
          <w:rFonts w:hint="default" w:ascii="Times New Roman" w:hAnsi="Times New Roman" w:eastAsia="方正仿宋简体" w:cs="Times New Roman"/>
          <w:sz w:val="32"/>
          <w:szCs w:val="32"/>
        </w:rPr>
        <w:t>万元，其中：</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人员经费</w:t>
      </w:r>
      <w:r>
        <w:rPr>
          <w:rFonts w:hint="eastAsia" w:eastAsia="方正仿宋简体" w:cs="Times New Roman"/>
          <w:sz w:val="32"/>
          <w:szCs w:val="32"/>
          <w:lang w:val="en-US" w:eastAsia="zh-CN"/>
        </w:rPr>
        <w:t>1529.17</w:t>
      </w:r>
      <w:r>
        <w:rPr>
          <w:rFonts w:hint="default" w:ascii="Times New Roman" w:hAnsi="Times New Roman" w:eastAsia="方正仿宋简体" w:cs="Times New Roman"/>
          <w:sz w:val="32"/>
          <w:szCs w:val="32"/>
        </w:rPr>
        <w:t>万元，主要包括</w:t>
      </w:r>
      <w:r>
        <w:rPr>
          <w:rFonts w:hint="eastAsia" w:eastAsia="方正仿宋简体" w:cs="Times New Roman"/>
          <w:sz w:val="32"/>
          <w:szCs w:val="32"/>
          <w:lang w:eastAsia="zh-CN"/>
        </w:rPr>
        <w:t>是</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工资性支出（基本工资、津贴补贴、奖金）、机关事业单位养老保险缴费、城镇职工基本医疗保险缴费、公务员医疗补助、其他社会保险缴费（失业保险、工伤保险）、其他工资福利支出（个人取暖费、独生子女费、煤油补贴、加班补助、休假探亲费、乡镇教职工生活补助、特级教师津贴、其他工资福利支出）、职业年金缴费、住房公积金、医疗费、对个人和家庭的补助（抚恤金、生活补助、救济费、医疗费补助、助学金、其他对个人和家庭的补助）、其他对个人和家庭的补助（学生助学金、三包经费、学生奖学金、免费教育经费等、营养改善计划试点资金、班主任津贴、西部计划志愿者生活补助）。</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公用经费</w:t>
      </w:r>
      <w:r>
        <w:rPr>
          <w:rFonts w:hint="eastAsia" w:eastAsia="方正仿宋简体" w:cs="Times New Roman"/>
          <w:sz w:val="32"/>
          <w:szCs w:val="32"/>
          <w:lang w:val="en-US" w:eastAsia="zh-CN"/>
        </w:rPr>
        <w:t>136.21</w:t>
      </w:r>
      <w:r>
        <w:rPr>
          <w:rFonts w:hint="default" w:ascii="Times New Roman" w:hAnsi="Times New Roman" w:eastAsia="方正仿宋简体" w:cs="Times New Roman"/>
          <w:sz w:val="32"/>
          <w:szCs w:val="32"/>
        </w:rPr>
        <w:t>万元，主要包括（以下内容根据部门具体情况进行填列）：商品和服务支出（办公费、印刷费、咨询费、手续费、水费、电费、邮电费、取暖费、物业管理费、差旅费、因公出国(境)费用、维修(护)费、租赁费、会议费、培训费、公务接待费、专用材料费、被装购置费、专用燃料费、劳务费、委托业务费、福利费、公务用车运行维护费、其他交通费用、税金及附加费用、公务通讯补贴、离退休人员公用经费、电梯运行维护费、食堂补助、邮寄费、其他商品和服务支出）、工会经费、车辆保险。</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七、一般公共预算</w:t>
      </w:r>
      <w:r>
        <w:rPr>
          <w:rFonts w:hint="eastAsia" w:ascii="方正黑体简体" w:hAnsi="方正黑体简体" w:eastAsia="方正黑体简体" w:cs="方正黑体简体"/>
          <w:sz w:val="32"/>
          <w:szCs w:val="32"/>
          <w:lang w:eastAsia="zh-CN"/>
        </w:rPr>
        <w:t>“</w:t>
      </w:r>
      <w:r>
        <w:rPr>
          <w:rFonts w:hint="default" w:ascii="方正黑体简体" w:hAnsi="方正黑体简体" w:eastAsia="方正黑体简体" w:cs="方正黑体简体"/>
          <w:sz w:val="32"/>
          <w:szCs w:val="32"/>
        </w:rPr>
        <w:t>三公”经费预算总体情况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lang w:val="en-US"/>
        </w:rPr>
      </w:pPr>
      <w:r>
        <w:rPr>
          <w:rFonts w:hint="default" w:ascii="Times New Roman" w:hAnsi="Times New Roman" w:eastAsia="方正仿宋简体" w:cs="Times New Roman"/>
          <w:sz w:val="32"/>
          <w:szCs w:val="32"/>
          <w:highlight w:val="none"/>
        </w:rPr>
        <w:t>202</w:t>
      </w:r>
      <w:r>
        <w:rPr>
          <w:rFonts w:hint="eastAsia"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年</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三公</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经费预算数</w:t>
      </w:r>
      <w:r>
        <w:rPr>
          <w:rFonts w:hint="eastAsia" w:eastAsia="方正仿宋简体" w:cs="Times New Roman"/>
          <w:sz w:val="32"/>
          <w:szCs w:val="32"/>
          <w:highlight w:val="none"/>
          <w:lang w:val="en-US" w:eastAsia="zh-CN"/>
        </w:rPr>
        <w:t>20.2</w:t>
      </w:r>
      <w:r>
        <w:rPr>
          <w:rFonts w:hint="default" w:ascii="Times New Roman" w:hAnsi="Times New Roman" w:eastAsia="方正仿宋简体" w:cs="Times New Roman"/>
          <w:sz w:val="32"/>
          <w:szCs w:val="32"/>
          <w:highlight w:val="none"/>
        </w:rPr>
        <w:t>万元，其中：公车运行费</w:t>
      </w:r>
      <w:r>
        <w:rPr>
          <w:rFonts w:hint="eastAsia" w:eastAsia="方正仿宋简体" w:cs="Times New Roman"/>
          <w:sz w:val="32"/>
          <w:szCs w:val="32"/>
          <w:highlight w:val="none"/>
          <w:lang w:val="en-US" w:eastAsia="zh-CN"/>
        </w:rPr>
        <w:t>20</w:t>
      </w:r>
      <w:r>
        <w:rPr>
          <w:rFonts w:hint="default" w:ascii="Times New Roman" w:hAnsi="Times New Roman" w:eastAsia="方正仿宋简体" w:cs="Times New Roman"/>
          <w:sz w:val="32"/>
          <w:szCs w:val="32"/>
          <w:highlight w:val="none"/>
        </w:rPr>
        <w:t>万元，公务接待费</w:t>
      </w:r>
      <w:r>
        <w:rPr>
          <w:rFonts w:hint="eastAsia" w:eastAsia="方正仿宋简体" w:cs="Times New Roman"/>
          <w:sz w:val="32"/>
          <w:szCs w:val="32"/>
          <w:highlight w:val="none"/>
          <w:lang w:val="en-US" w:eastAsia="zh-CN"/>
        </w:rPr>
        <w:t>0.2</w:t>
      </w:r>
      <w:r>
        <w:rPr>
          <w:rFonts w:hint="default" w:ascii="Times New Roman" w:hAnsi="Times New Roman" w:eastAsia="方正仿宋简体" w:cs="Times New Roman"/>
          <w:sz w:val="32"/>
          <w:szCs w:val="32"/>
          <w:highlight w:val="none"/>
        </w:rPr>
        <w:t>万元。</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三公</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经费预算比202</w:t>
      </w:r>
      <w:r>
        <w:rPr>
          <w:rFonts w:hint="eastAsia" w:eastAsia="方正仿宋简体" w:cs="Times New Roman"/>
          <w:sz w:val="32"/>
          <w:szCs w:val="32"/>
          <w:highlight w:val="none"/>
          <w:lang w:val="en-US" w:eastAsia="zh-CN"/>
        </w:rPr>
        <w:t>4</w:t>
      </w:r>
      <w:r>
        <w:rPr>
          <w:rFonts w:hint="default" w:ascii="Times New Roman" w:hAnsi="Times New Roman" w:eastAsia="方正仿宋简体" w:cs="Times New Roman"/>
          <w:sz w:val="32"/>
          <w:szCs w:val="32"/>
          <w:highlight w:val="none"/>
        </w:rPr>
        <w:t>年</w:t>
      </w:r>
      <w:r>
        <w:rPr>
          <w:rFonts w:hint="eastAsia" w:eastAsia="方正仿宋简体" w:cs="Times New Roman"/>
          <w:sz w:val="32"/>
          <w:szCs w:val="32"/>
          <w:highlight w:val="none"/>
          <w:lang w:eastAsia="zh-CN"/>
        </w:rPr>
        <w:t>增加</w:t>
      </w:r>
      <w:r>
        <w:rPr>
          <w:rFonts w:hint="eastAsia" w:eastAsia="方正仿宋简体" w:cs="Times New Roman"/>
          <w:sz w:val="32"/>
          <w:szCs w:val="32"/>
          <w:highlight w:val="none"/>
          <w:lang w:val="en-US" w:eastAsia="zh-CN"/>
        </w:rPr>
        <w:t>20.20</w:t>
      </w:r>
      <w:r>
        <w:rPr>
          <w:rFonts w:hint="default" w:ascii="Times New Roman" w:hAnsi="Times New Roman" w:eastAsia="方正仿宋简体" w:cs="Times New Roman"/>
          <w:sz w:val="32"/>
          <w:szCs w:val="32"/>
          <w:highlight w:val="none"/>
        </w:rPr>
        <w:t>万元</w:t>
      </w:r>
      <w:r>
        <w:rPr>
          <w:rFonts w:hint="eastAsia" w:eastAsia="方正仿宋简体" w:cs="Times New Roman"/>
          <w:sz w:val="32"/>
          <w:szCs w:val="32"/>
          <w:highlight w:val="none"/>
          <w:lang w:eastAsia="zh-CN"/>
        </w:rPr>
        <w:t>，增长率</w:t>
      </w:r>
      <w:r>
        <w:rPr>
          <w:rFonts w:hint="eastAsia" w:eastAsia="方正仿宋简体" w:cs="Times New Roman"/>
          <w:sz w:val="32"/>
          <w:szCs w:val="32"/>
          <w:highlight w:val="none"/>
          <w:lang w:val="en-US" w:eastAsia="zh-CN"/>
        </w:rPr>
        <w:t>100</w:t>
      </w:r>
      <w:r>
        <w:rPr>
          <w:rFonts w:hint="default" w:ascii="Times New Roman" w:hAnsi="Times New Roman" w:eastAsia="方正仿宋简体" w:cs="Times New Roman"/>
          <w:sz w:val="32"/>
          <w:szCs w:val="32"/>
          <w:highlight w:val="none"/>
        </w:rPr>
        <w:t>%</w:t>
      </w:r>
      <w:r>
        <w:rPr>
          <w:rFonts w:hint="eastAsia"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主要原因是</w:t>
      </w:r>
      <w:r>
        <w:rPr>
          <w:rFonts w:hint="eastAsia" w:eastAsia="方正仿宋简体" w:cs="Times New Roman"/>
          <w:sz w:val="32"/>
          <w:szCs w:val="32"/>
          <w:highlight w:val="none"/>
          <w:lang w:eastAsia="zh-CN"/>
        </w:rPr>
        <w:t>：</w:t>
      </w:r>
      <w:r>
        <w:rPr>
          <w:rFonts w:hint="eastAsia" w:eastAsia="方正仿宋简体" w:cs="Times New Roman"/>
          <w:sz w:val="32"/>
          <w:szCs w:val="32"/>
          <w:highlight w:val="none"/>
          <w:lang w:val="en-US" w:eastAsia="zh-CN"/>
        </w:rPr>
        <w:t>2025年根据那曲市财政局要求，那曲市纪委监委和市委巡察办独立核算，且每年坚持压减“三公”经费收支预算。</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202</w:t>
      </w:r>
      <w:r>
        <w:rPr>
          <w:rFonts w:hint="eastAsia" w:eastAsia="方正仿宋简体" w:cs="Times New Roman"/>
          <w:sz w:val="32"/>
          <w:szCs w:val="32"/>
          <w:highlight w:val="none"/>
          <w:lang w:val="en-US" w:eastAsia="zh-CN"/>
        </w:rPr>
        <w:t>4</w:t>
      </w:r>
      <w:r>
        <w:rPr>
          <w:rFonts w:hint="default" w:ascii="Times New Roman" w:hAnsi="Times New Roman" w:eastAsia="方正仿宋简体" w:cs="Times New Roman"/>
          <w:sz w:val="32"/>
          <w:szCs w:val="32"/>
          <w:highlight w:val="none"/>
        </w:rPr>
        <w:t>年</w:t>
      </w:r>
      <w:r>
        <w:rPr>
          <w:rFonts w:hint="default" w:ascii="Times New Roman" w:hAnsi="Times New Roman" w:eastAsia="方正仿宋简体" w:cs="Times New Roman"/>
          <w:sz w:val="32"/>
          <w:szCs w:val="32"/>
          <w:highlight w:val="none"/>
          <w:lang w:val="en-US" w:eastAsia="zh-CN"/>
        </w:rPr>
        <w:t>1</w:t>
      </w:r>
      <w:r>
        <w:rPr>
          <w:rFonts w:hint="eastAsia" w:eastAsia="方正仿宋简体" w:cs="Times New Roman"/>
          <w:sz w:val="32"/>
          <w:szCs w:val="32"/>
          <w:highlight w:val="none"/>
          <w:lang w:val="en-US" w:eastAsia="zh-CN"/>
        </w:rPr>
        <w:t>2</w:t>
      </w:r>
      <w:r>
        <w:rPr>
          <w:rFonts w:hint="default" w:ascii="Times New Roman" w:hAnsi="Times New Roman" w:eastAsia="方正仿宋简体" w:cs="Times New Roman"/>
          <w:sz w:val="32"/>
          <w:szCs w:val="32"/>
          <w:highlight w:val="none"/>
        </w:rPr>
        <w:t>月底，本部门</w:t>
      </w:r>
      <w:r>
        <w:rPr>
          <w:rFonts w:hint="eastAsia" w:eastAsia="方正仿宋简体" w:cs="Times New Roman"/>
          <w:sz w:val="32"/>
          <w:szCs w:val="32"/>
          <w:highlight w:val="none"/>
          <w:lang w:eastAsia="zh-CN"/>
        </w:rPr>
        <w:t>资产系统中</w:t>
      </w:r>
      <w:r>
        <w:rPr>
          <w:rFonts w:hint="default" w:ascii="Times New Roman" w:hAnsi="Times New Roman" w:eastAsia="方正仿宋简体" w:cs="Times New Roman"/>
          <w:sz w:val="32"/>
          <w:szCs w:val="32"/>
          <w:highlight w:val="none"/>
        </w:rPr>
        <w:t>共有</w:t>
      </w:r>
      <w:r>
        <w:rPr>
          <w:rFonts w:hint="eastAsia" w:eastAsia="方正仿宋简体" w:cs="Times New Roman"/>
          <w:sz w:val="32"/>
          <w:szCs w:val="32"/>
          <w:highlight w:val="none"/>
          <w:lang w:val="en-US" w:eastAsia="zh-CN"/>
        </w:rPr>
        <w:t>16</w:t>
      </w:r>
      <w:r>
        <w:rPr>
          <w:rFonts w:hint="default" w:ascii="Times New Roman" w:hAnsi="Times New Roman" w:eastAsia="方正仿宋简体" w:cs="Times New Roman"/>
          <w:sz w:val="32"/>
          <w:szCs w:val="32"/>
          <w:highlight w:val="none"/>
        </w:rPr>
        <w:t>辆，</w:t>
      </w:r>
      <w:r>
        <w:rPr>
          <w:rFonts w:hint="eastAsia" w:eastAsia="方正仿宋简体" w:cs="Times New Roman"/>
          <w:sz w:val="32"/>
          <w:szCs w:val="32"/>
          <w:highlight w:val="none"/>
          <w:lang w:eastAsia="zh-CN"/>
        </w:rPr>
        <w:t>主要用途为</w:t>
      </w:r>
      <w:r>
        <w:rPr>
          <w:rFonts w:hint="default" w:ascii="Times New Roman" w:hAnsi="Times New Roman" w:eastAsia="方正仿宋简体" w:cs="Times New Roman"/>
          <w:sz w:val="32"/>
          <w:szCs w:val="32"/>
          <w:highlight w:val="none"/>
        </w:rPr>
        <w:t>其他用车。202</w:t>
      </w:r>
      <w:r>
        <w:rPr>
          <w:rFonts w:hint="eastAsia"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年</w:t>
      </w:r>
      <w:r>
        <w:rPr>
          <w:rFonts w:hint="eastAsia" w:eastAsia="方正仿宋简体" w:cs="Times New Roman"/>
          <w:sz w:val="32"/>
          <w:szCs w:val="32"/>
          <w:highlight w:val="none"/>
          <w:lang w:eastAsia="zh-CN"/>
        </w:rPr>
        <w:t>那曲市纪委监委和市委巡察办独立核算，因此</w:t>
      </w:r>
      <w:r>
        <w:rPr>
          <w:rFonts w:hint="eastAsia" w:eastAsia="方正仿宋简体" w:cs="Times New Roman"/>
          <w:sz w:val="32"/>
          <w:szCs w:val="32"/>
          <w:highlight w:val="none"/>
          <w:lang w:val="en-US" w:eastAsia="zh-CN"/>
        </w:rPr>
        <w:t>2025年车辆</w:t>
      </w:r>
      <w:r>
        <w:rPr>
          <w:rFonts w:hint="default" w:ascii="Times New Roman" w:hAnsi="Times New Roman" w:eastAsia="方正仿宋简体" w:cs="Times New Roman"/>
          <w:sz w:val="32"/>
          <w:szCs w:val="32"/>
          <w:highlight w:val="none"/>
        </w:rPr>
        <w:t>保有量</w:t>
      </w:r>
      <w:r>
        <w:rPr>
          <w:rFonts w:hint="eastAsia" w:eastAsia="方正仿宋简体" w:cs="Times New Roman"/>
          <w:sz w:val="32"/>
          <w:szCs w:val="32"/>
          <w:highlight w:val="none"/>
          <w:lang w:eastAsia="zh-CN"/>
        </w:rPr>
        <w:t>为</w:t>
      </w:r>
      <w:r>
        <w:rPr>
          <w:rFonts w:hint="eastAsia" w:eastAsia="方正仿宋简体" w:cs="Times New Roman"/>
          <w:sz w:val="32"/>
          <w:szCs w:val="32"/>
          <w:highlight w:val="none"/>
          <w:lang w:val="en-US" w:eastAsia="zh-CN"/>
        </w:rPr>
        <w:t>3辆</w:t>
      </w:r>
      <w:r>
        <w:rPr>
          <w:rFonts w:hint="default" w:ascii="Times New Roman" w:hAnsi="Times New Roman" w:eastAsia="方正仿宋简体" w:cs="Times New Roman"/>
          <w:sz w:val="32"/>
          <w:szCs w:val="32"/>
          <w:highlight w:val="none"/>
        </w:rPr>
        <w:t>。</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八、政府性基金预算支出总体情况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2025年无</w:t>
      </w:r>
      <w:r>
        <w:rPr>
          <w:rFonts w:hint="default" w:ascii="Times New Roman" w:hAnsi="Times New Roman" w:eastAsia="方正仿宋简体" w:cs="Times New Roman"/>
          <w:sz w:val="32"/>
          <w:szCs w:val="32"/>
        </w:rPr>
        <w:t>政府性基金预算拨款</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比202</w:t>
      </w:r>
      <w:r>
        <w:rPr>
          <w:rFonts w:hint="eastAsia" w:eastAsia="方正仿宋简体" w:cs="Times New Roman"/>
          <w:sz w:val="32"/>
          <w:szCs w:val="32"/>
          <w:lang w:val="en-US" w:eastAsia="zh-CN"/>
        </w:rPr>
        <w:t>4</w:t>
      </w:r>
      <w:r>
        <w:rPr>
          <w:rFonts w:hint="default" w:ascii="Times New Roman" w:hAnsi="Times New Roman" w:eastAsia="方正仿宋简体" w:cs="Times New Roman"/>
          <w:sz w:val="32"/>
          <w:szCs w:val="32"/>
        </w:rPr>
        <w:t>年执行数</w:t>
      </w:r>
      <w:r>
        <w:rPr>
          <w:rFonts w:hint="eastAsia" w:eastAsia="方正仿宋简体" w:cs="Times New Roman"/>
          <w:sz w:val="32"/>
          <w:szCs w:val="32"/>
          <w:lang w:eastAsia="zh-CN"/>
        </w:rPr>
        <w:t>无变化</w:t>
      </w:r>
      <w:r>
        <w:rPr>
          <w:rFonts w:hint="default" w:ascii="Times New Roman" w:hAnsi="Times New Roman" w:eastAsia="方正仿宋简体" w:cs="Times New Roman"/>
          <w:sz w:val="32"/>
          <w:szCs w:val="32"/>
        </w:rPr>
        <w:t>，主要原因</w:t>
      </w:r>
      <w:r>
        <w:rPr>
          <w:rFonts w:hint="eastAsia" w:eastAsia="方正仿宋简体" w:cs="Times New Roman"/>
          <w:sz w:val="32"/>
          <w:szCs w:val="32"/>
          <w:lang w:eastAsia="zh-CN"/>
        </w:rPr>
        <w:t>是：</w:t>
      </w:r>
      <w:r>
        <w:rPr>
          <w:rFonts w:hint="default" w:ascii="Times New Roman" w:hAnsi="Times New Roman" w:eastAsia="方正仿宋简体" w:cs="Times New Roman"/>
          <w:sz w:val="32"/>
          <w:szCs w:val="32"/>
        </w:rPr>
        <w:t>2024</w:t>
      </w:r>
      <w:r>
        <w:rPr>
          <w:rFonts w:hint="eastAsia" w:eastAsia="方正仿宋简体" w:cs="Times New Roman"/>
          <w:sz w:val="32"/>
          <w:szCs w:val="32"/>
          <w:lang w:val="en-US" w:eastAsia="zh-CN"/>
        </w:rPr>
        <w:t>-205</w:t>
      </w:r>
      <w:r>
        <w:rPr>
          <w:rFonts w:hint="default" w:ascii="Times New Roman" w:hAnsi="Times New Roman" w:eastAsia="方正仿宋简体" w:cs="Times New Roman"/>
          <w:sz w:val="32"/>
          <w:szCs w:val="32"/>
        </w:rPr>
        <w:t>年度没有政府性基金安排的支出</w:t>
      </w:r>
      <w:r>
        <w:rPr>
          <w:rFonts w:hint="default" w:ascii="Times New Roman" w:hAnsi="Times New Roman" w:eastAsia="方正仿宋简体" w:cs="Times New Roman"/>
          <w:kern w:val="0"/>
          <w:sz w:val="32"/>
          <w:szCs w:val="32"/>
        </w:rPr>
        <w:t>。</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九、政府性基金“三公”经费总体情况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rPr>
        <w:t>年度</w:t>
      </w:r>
      <w:r>
        <w:rPr>
          <w:rFonts w:hint="eastAsia" w:eastAsia="方正仿宋简体" w:cs="Times New Roman"/>
          <w:sz w:val="32"/>
          <w:szCs w:val="32"/>
          <w:lang w:eastAsia="zh-CN"/>
        </w:rPr>
        <w:t>无</w:t>
      </w:r>
      <w:r>
        <w:rPr>
          <w:rFonts w:hint="default" w:ascii="Times New Roman" w:hAnsi="Times New Roman" w:eastAsia="方正仿宋简体" w:cs="Times New Roman"/>
          <w:sz w:val="32"/>
          <w:szCs w:val="32"/>
        </w:rPr>
        <w:t>政府性基金安排的支出</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方正黑体简体" w:hAnsi="方正黑体简体" w:eastAsia="方正黑体简体" w:cs="方正黑体简体"/>
          <w:sz w:val="32"/>
          <w:szCs w:val="32"/>
        </w:rPr>
      </w:pPr>
      <w:r>
        <w:rPr>
          <w:rFonts w:hint="default" w:ascii="方正黑体简体" w:hAnsi="方正黑体简体" w:eastAsia="方正黑体简体" w:cs="方正黑体简体"/>
          <w:sz w:val="32"/>
          <w:szCs w:val="32"/>
        </w:rPr>
        <w:t>十、其他重要事项的情况说明</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（一）机关运行经费安排使用情况说明。</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202</w:t>
      </w:r>
      <w:r>
        <w:rPr>
          <w:rFonts w:hint="eastAsia"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年部门机关</w:t>
      </w:r>
      <w:r>
        <w:rPr>
          <w:rFonts w:hint="eastAsia" w:eastAsia="方正仿宋简体" w:cs="Times New Roman"/>
          <w:sz w:val="32"/>
          <w:szCs w:val="32"/>
          <w:highlight w:val="none"/>
          <w:lang w:val="en-US" w:eastAsia="zh-CN"/>
        </w:rPr>
        <w:t>1</w:t>
      </w:r>
      <w:r>
        <w:rPr>
          <w:rFonts w:hint="default" w:ascii="Times New Roman" w:hAnsi="Times New Roman" w:eastAsia="方正仿宋简体" w:cs="Times New Roman"/>
          <w:sz w:val="32"/>
          <w:szCs w:val="32"/>
          <w:highlight w:val="none"/>
        </w:rPr>
        <w:t>家行政单位的机关运行经费财政拨款预算</w:t>
      </w:r>
      <w:r>
        <w:rPr>
          <w:rFonts w:hint="eastAsia" w:eastAsia="方正仿宋简体" w:cs="Times New Roman"/>
          <w:sz w:val="32"/>
          <w:szCs w:val="32"/>
          <w:highlight w:val="none"/>
          <w:lang w:val="en-US" w:eastAsia="zh-CN"/>
        </w:rPr>
        <w:t>136.21</w:t>
      </w:r>
      <w:r>
        <w:rPr>
          <w:rFonts w:hint="default" w:ascii="Times New Roman" w:hAnsi="Times New Roman" w:eastAsia="方正仿宋简体" w:cs="Times New Roman"/>
          <w:sz w:val="32"/>
          <w:szCs w:val="32"/>
          <w:highlight w:val="none"/>
        </w:rPr>
        <w:t>万元，比202</w:t>
      </w:r>
      <w:r>
        <w:rPr>
          <w:rFonts w:hint="eastAsia" w:eastAsia="方正仿宋简体" w:cs="Times New Roman"/>
          <w:sz w:val="32"/>
          <w:szCs w:val="32"/>
          <w:highlight w:val="none"/>
          <w:lang w:val="en-US" w:eastAsia="zh-CN"/>
        </w:rPr>
        <w:t>4</w:t>
      </w:r>
      <w:r>
        <w:rPr>
          <w:rFonts w:hint="default" w:ascii="Times New Roman" w:hAnsi="Times New Roman" w:eastAsia="方正仿宋简体" w:cs="Times New Roman"/>
          <w:sz w:val="32"/>
          <w:szCs w:val="32"/>
          <w:highlight w:val="none"/>
        </w:rPr>
        <w:t>年预算</w:t>
      </w:r>
      <w:r>
        <w:rPr>
          <w:rFonts w:hint="eastAsia" w:eastAsia="方正仿宋简体" w:cs="Times New Roman"/>
          <w:sz w:val="32"/>
          <w:szCs w:val="32"/>
          <w:highlight w:val="none"/>
          <w:lang w:eastAsia="zh-CN"/>
        </w:rPr>
        <w:t>增加</w:t>
      </w:r>
      <w:r>
        <w:rPr>
          <w:rFonts w:hint="eastAsia" w:eastAsia="方正仿宋简体" w:cs="Times New Roman"/>
          <w:sz w:val="32"/>
          <w:szCs w:val="32"/>
          <w:highlight w:val="none"/>
          <w:lang w:val="en-US" w:eastAsia="zh-CN"/>
        </w:rPr>
        <w:t>136.21</w:t>
      </w:r>
      <w:r>
        <w:rPr>
          <w:rFonts w:hint="default" w:ascii="Times New Roman" w:hAnsi="Times New Roman" w:eastAsia="方正仿宋简体" w:cs="Times New Roman"/>
          <w:sz w:val="32"/>
          <w:szCs w:val="32"/>
          <w:highlight w:val="none"/>
        </w:rPr>
        <w:t>万元，</w:t>
      </w:r>
      <w:r>
        <w:rPr>
          <w:rFonts w:hint="eastAsia" w:eastAsia="方正仿宋简体" w:cs="Times New Roman"/>
          <w:sz w:val="32"/>
          <w:szCs w:val="32"/>
          <w:highlight w:val="none"/>
          <w:lang w:eastAsia="zh-CN"/>
        </w:rPr>
        <w:t>增长率</w:t>
      </w:r>
      <w:r>
        <w:rPr>
          <w:rFonts w:hint="eastAsia" w:eastAsia="方正仿宋简体" w:cs="Times New Roman"/>
          <w:sz w:val="32"/>
          <w:szCs w:val="32"/>
          <w:highlight w:val="none"/>
          <w:lang w:val="en-US" w:eastAsia="zh-CN"/>
        </w:rPr>
        <w:t>100</w:t>
      </w:r>
      <w:r>
        <w:rPr>
          <w:rFonts w:hint="default" w:ascii="Times New Roman" w:hAnsi="Times New Roman" w:eastAsia="方正仿宋简体" w:cs="Times New Roman"/>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eastAsia"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rPr>
        <w:t>（二）政府采购情况说明。</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方正仿宋简体" w:cs="Times New Roman"/>
          <w:kern w:val="0"/>
          <w:sz w:val="32"/>
          <w:szCs w:val="32"/>
          <w:highlight w:val="none"/>
        </w:rPr>
      </w:pPr>
      <w:r>
        <w:rPr>
          <w:rFonts w:hint="default" w:ascii="Times New Roman" w:hAnsi="Times New Roman" w:eastAsia="方正仿宋简体" w:cs="Times New Roman"/>
          <w:sz w:val="32"/>
          <w:szCs w:val="32"/>
          <w:highlight w:val="none"/>
        </w:rPr>
        <w:t>202</w:t>
      </w:r>
      <w:r>
        <w:rPr>
          <w:rFonts w:hint="eastAsia"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年预算单位</w:t>
      </w:r>
      <w:r>
        <w:rPr>
          <w:rFonts w:hint="eastAsia" w:eastAsia="方正仿宋简体" w:cs="Times New Roman"/>
          <w:sz w:val="32"/>
          <w:szCs w:val="32"/>
          <w:highlight w:val="none"/>
          <w:lang w:eastAsia="zh-CN"/>
        </w:rPr>
        <w:t>无</w:t>
      </w:r>
      <w:r>
        <w:rPr>
          <w:rFonts w:hint="default" w:ascii="Times New Roman" w:hAnsi="Times New Roman" w:eastAsia="方正仿宋简体" w:cs="Times New Roman"/>
          <w:sz w:val="32"/>
          <w:szCs w:val="32"/>
          <w:highlight w:val="none"/>
        </w:rPr>
        <w:t>政府采购预算。</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方正楷体简体" w:hAnsi="方正楷体简体" w:eastAsia="方正楷体简体" w:cs="方正楷体简体"/>
          <w:sz w:val="32"/>
          <w:szCs w:val="32"/>
          <w:highlight w:val="none"/>
        </w:rPr>
      </w:pPr>
      <w:r>
        <w:rPr>
          <w:rFonts w:hint="default" w:ascii="方正楷体简体" w:hAnsi="方正楷体简体" w:eastAsia="方正楷体简体" w:cs="方正楷体简体"/>
          <w:sz w:val="32"/>
          <w:szCs w:val="32"/>
          <w:highlight w:val="none"/>
        </w:rPr>
        <w:t>（三）</w:t>
      </w:r>
      <w:r>
        <w:rPr>
          <w:rFonts w:hint="default" w:ascii="Times New Roman" w:hAnsi="Times New Roman" w:eastAsia="方正楷体简体" w:cs="Times New Roman"/>
          <w:sz w:val="32"/>
          <w:szCs w:val="32"/>
          <w:highlight w:val="none"/>
        </w:rPr>
        <w:t>202</w:t>
      </w:r>
      <w:r>
        <w:rPr>
          <w:rFonts w:hint="default" w:ascii="Times New Roman" w:hAnsi="Times New Roman" w:eastAsia="方正楷体简体" w:cs="Times New Roman"/>
          <w:sz w:val="32"/>
          <w:szCs w:val="32"/>
          <w:highlight w:val="none"/>
          <w:lang w:val="en-US" w:eastAsia="zh-CN"/>
        </w:rPr>
        <w:t>5</w:t>
      </w:r>
      <w:r>
        <w:rPr>
          <w:rFonts w:hint="default" w:ascii="方正楷体简体" w:hAnsi="方正楷体简体" w:eastAsia="方正楷体简体" w:cs="方正楷体简体"/>
          <w:sz w:val="32"/>
          <w:szCs w:val="32"/>
          <w:highlight w:val="none"/>
        </w:rPr>
        <w:t>年预算绩效情况说明。</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202</w:t>
      </w:r>
      <w:r>
        <w:rPr>
          <w:rFonts w:hint="eastAsia"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年实现财政支出绩效目标管理全覆盖，</w:t>
      </w:r>
      <w:r>
        <w:rPr>
          <w:rFonts w:hint="eastAsia" w:eastAsia="方正仿宋简体" w:cs="Times New Roman"/>
          <w:sz w:val="32"/>
          <w:szCs w:val="32"/>
          <w:highlight w:val="none"/>
          <w:lang w:eastAsia="zh-CN"/>
        </w:rPr>
        <w:t>并且对</w:t>
      </w:r>
      <w:r>
        <w:rPr>
          <w:rFonts w:hint="eastAsia" w:eastAsia="方正仿宋简体" w:cs="Times New Roman"/>
          <w:sz w:val="32"/>
          <w:szCs w:val="32"/>
          <w:highlight w:val="none"/>
          <w:lang w:val="en-US" w:eastAsia="zh-CN"/>
        </w:rPr>
        <w:t>2025年2个项目实行</w:t>
      </w:r>
      <w:r>
        <w:rPr>
          <w:rFonts w:hint="default" w:ascii="Times New Roman" w:hAnsi="Times New Roman" w:eastAsia="方正仿宋简体" w:cs="Times New Roman"/>
          <w:sz w:val="32"/>
          <w:szCs w:val="32"/>
          <w:highlight w:val="none"/>
        </w:rPr>
        <w:t>绩效目标管理，</w:t>
      </w:r>
      <w:r>
        <w:rPr>
          <w:rFonts w:hint="eastAsia" w:eastAsia="方正仿宋简体" w:cs="Times New Roman"/>
          <w:sz w:val="32"/>
          <w:szCs w:val="32"/>
          <w:highlight w:val="none"/>
          <w:lang w:eastAsia="zh-CN"/>
        </w:rPr>
        <w:t>涉及</w:t>
      </w:r>
      <w:r>
        <w:rPr>
          <w:rFonts w:hint="default" w:ascii="Times New Roman" w:hAnsi="Times New Roman" w:eastAsia="方正仿宋简体" w:cs="Times New Roman"/>
          <w:sz w:val="32"/>
          <w:szCs w:val="32"/>
          <w:highlight w:val="none"/>
        </w:rPr>
        <w:t>资金</w:t>
      </w:r>
      <w:r>
        <w:rPr>
          <w:rFonts w:hint="eastAsia" w:eastAsia="方正仿宋简体" w:cs="Times New Roman"/>
          <w:sz w:val="32"/>
          <w:szCs w:val="32"/>
          <w:highlight w:val="none"/>
          <w:lang w:val="en-US" w:eastAsia="zh-CN"/>
        </w:rPr>
        <w:t>363.95</w:t>
      </w:r>
      <w:r>
        <w:rPr>
          <w:rFonts w:hint="default" w:ascii="Times New Roman" w:hAnsi="Times New Roman" w:eastAsia="方正仿宋简体" w:cs="Times New Roman"/>
          <w:sz w:val="32"/>
          <w:szCs w:val="32"/>
          <w:highlight w:val="none"/>
        </w:rPr>
        <w:t>万元。</w:t>
      </w:r>
    </w:p>
    <w:p>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第四部分</w:t>
      </w:r>
    </w:p>
    <w:p>
      <w:pPr>
        <w:keepNext w:val="0"/>
        <w:keepLines w:val="0"/>
        <w:pageBreakBefore w:val="0"/>
        <w:widowControl w:val="0"/>
        <w:kinsoku/>
        <w:wordWrap/>
        <w:overflowPunct/>
        <w:topLinePunct w:val="0"/>
        <w:bidi w:val="0"/>
        <w:snapToGrid/>
        <w:spacing w:line="576" w:lineRule="exact"/>
        <w:ind w:firstLine="3080" w:firstLineChars="70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3080" w:firstLineChars="7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名词解释</w:t>
      </w:r>
    </w:p>
    <w:p>
      <w:pPr>
        <w:keepNext w:val="0"/>
        <w:keepLines w:val="0"/>
        <w:pageBreakBefore w:val="0"/>
        <w:widowControl w:val="0"/>
        <w:kinsoku/>
        <w:wordWrap/>
        <w:overflowPunct/>
        <w:topLinePunct w:val="0"/>
        <w:bidi w:val="0"/>
        <w:snapToGrid/>
        <w:spacing w:line="576"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一、财政拨款收入：本级财政部门当年拨付的财政预算资金，包括一般公共预算财政拨款、政府性基金预算财政拨款和国资预算财政拨款。</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二、事业收入：指事业单位开展专业业务活动及辅助活动所取得的收入。</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机关运行经费：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五、其他收入：指除上述“一般公共预算拨款收入”、“事业收入”、“事业单位经营收入”等以外的收入。主要是按规定动用的售房收入、存款利息收入等。</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六、上年结转：指以前年度安排、结转到本年仍按原规定用途继续使用的资金。</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重点项目：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sz w:val="32"/>
          <w:szCs w:val="32"/>
        </w:rPr>
        <w:t>八、基本支出：指为保障机构正常运转、完成日常工作任务而发生的人员支出和公用支出。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九、项目支出：指在基本支出之外为完成特定行政任务或事业发展目标所发生的支出。</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十、“三公”经费：是指安排的因公出国（境）费、公务用车购置及运行维护费和公务接待费。</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sz w:val="32"/>
          <w:szCs w:val="32"/>
        </w:rPr>
        <w:t>十、事业单位经营支出：指事业单位在专业业务活动及其辅助活动之外开展非独立核算经营活动发生的支出。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简体" w:cs="Times New Roman"/>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C4F1C"/>
    <w:multiLevelType w:val="singleLevel"/>
    <w:tmpl w:val="312C4F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0AAE"/>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01A8"/>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23F3"/>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3469C5"/>
    <w:rsid w:val="021E65BA"/>
    <w:rsid w:val="02BB296F"/>
    <w:rsid w:val="02BE0341"/>
    <w:rsid w:val="02F861FE"/>
    <w:rsid w:val="03626CA2"/>
    <w:rsid w:val="039D5211"/>
    <w:rsid w:val="041A0DBC"/>
    <w:rsid w:val="051D4967"/>
    <w:rsid w:val="0541652C"/>
    <w:rsid w:val="05AC75F9"/>
    <w:rsid w:val="05B10DE0"/>
    <w:rsid w:val="05B86315"/>
    <w:rsid w:val="067277E2"/>
    <w:rsid w:val="07C8704E"/>
    <w:rsid w:val="08574187"/>
    <w:rsid w:val="08593123"/>
    <w:rsid w:val="086C2F76"/>
    <w:rsid w:val="08776911"/>
    <w:rsid w:val="09FE031C"/>
    <w:rsid w:val="0A1735EB"/>
    <w:rsid w:val="0A6D5378"/>
    <w:rsid w:val="0A811469"/>
    <w:rsid w:val="0AE23768"/>
    <w:rsid w:val="0BDD1F2A"/>
    <w:rsid w:val="0C0127FA"/>
    <w:rsid w:val="0CA1425A"/>
    <w:rsid w:val="0CEA404A"/>
    <w:rsid w:val="0D1348D0"/>
    <w:rsid w:val="0D3A692B"/>
    <w:rsid w:val="0D9452B7"/>
    <w:rsid w:val="0DC27DFB"/>
    <w:rsid w:val="0DFD715E"/>
    <w:rsid w:val="0E1E1DF9"/>
    <w:rsid w:val="10025758"/>
    <w:rsid w:val="12052800"/>
    <w:rsid w:val="12221EB5"/>
    <w:rsid w:val="128C42CB"/>
    <w:rsid w:val="13061BDF"/>
    <w:rsid w:val="135A0909"/>
    <w:rsid w:val="13AC4302"/>
    <w:rsid w:val="1418453A"/>
    <w:rsid w:val="14BE5A49"/>
    <w:rsid w:val="155B10DA"/>
    <w:rsid w:val="15A64F71"/>
    <w:rsid w:val="16223139"/>
    <w:rsid w:val="16CD25AE"/>
    <w:rsid w:val="172F6F11"/>
    <w:rsid w:val="174F0A0F"/>
    <w:rsid w:val="176B4D69"/>
    <w:rsid w:val="17DE1F75"/>
    <w:rsid w:val="186B2363"/>
    <w:rsid w:val="18915B1B"/>
    <w:rsid w:val="190F5440"/>
    <w:rsid w:val="198C6B3F"/>
    <w:rsid w:val="19E94C4E"/>
    <w:rsid w:val="1A3B7188"/>
    <w:rsid w:val="1A3E0F58"/>
    <w:rsid w:val="1AA573AE"/>
    <w:rsid w:val="1AB64FA1"/>
    <w:rsid w:val="1AFF11E2"/>
    <w:rsid w:val="1C5B42EC"/>
    <w:rsid w:val="1F1B1FC9"/>
    <w:rsid w:val="200F6EC3"/>
    <w:rsid w:val="208A1999"/>
    <w:rsid w:val="20B96F9A"/>
    <w:rsid w:val="20D2675F"/>
    <w:rsid w:val="219C3522"/>
    <w:rsid w:val="24BB236A"/>
    <w:rsid w:val="24E73DD8"/>
    <w:rsid w:val="25385A7B"/>
    <w:rsid w:val="257D594D"/>
    <w:rsid w:val="258B6651"/>
    <w:rsid w:val="260C606E"/>
    <w:rsid w:val="27312720"/>
    <w:rsid w:val="27C8197F"/>
    <w:rsid w:val="28622EC8"/>
    <w:rsid w:val="286C0BCD"/>
    <w:rsid w:val="289A4809"/>
    <w:rsid w:val="28BD234F"/>
    <w:rsid w:val="299C7AAA"/>
    <w:rsid w:val="29A6348D"/>
    <w:rsid w:val="29D70259"/>
    <w:rsid w:val="2AB51966"/>
    <w:rsid w:val="2BF54831"/>
    <w:rsid w:val="2C341A04"/>
    <w:rsid w:val="2C8A7193"/>
    <w:rsid w:val="2CBA1357"/>
    <w:rsid w:val="2E001E3B"/>
    <w:rsid w:val="2E392D24"/>
    <w:rsid w:val="2E5B0B77"/>
    <w:rsid w:val="2E83148F"/>
    <w:rsid w:val="2F0E1B64"/>
    <w:rsid w:val="2F405401"/>
    <w:rsid w:val="3180035E"/>
    <w:rsid w:val="318926D3"/>
    <w:rsid w:val="31AC3A94"/>
    <w:rsid w:val="324B266C"/>
    <w:rsid w:val="325E7776"/>
    <w:rsid w:val="32DA144A"/>
    <w:rsid w:val="32DA173A"/>
    <w:rsid w:val="331C2B6D"/>
    <w:rsid w:val="33455667"/>
    <w:rsid w:val="33470108"/>
    <w:rsid w:val="33E72C5C"/>
    <w:rsid w:val="340F4C10"/>
    <w:rsid w:val="342616CF"/>
    <w:rsid w:val="342A025D"/>
    <w:rsid w:val="34450C8F"/>
    <w:rsid w:val="345B67BB"/>
    <w:rsid w:val="34E002C0"/>
    <w:rsid w:val="34F14F40"/>
    <w:rsid w:val="35131FB7"/>
    <w:rsid w:val="35A47356"/>
    <w:rsid w:val="35C34EC4"/>
    <w:rsid w:val="35F4015D"/>
    <w:rsid w:val="365B270A"/>
    <w:rsid w:val="367D072A"/>
    <w:rsid w:val="36A2693A"/>
    <w:rsid w:val="38D96E38"/>
    <w:rsid w:val="38DD1C4D"/>
    <w:rsid w:val="392101B7"/>
    <w:rsid w:val="39380E10"/>
    <w:rsid w:val="396B03FE"/>
    <w:rsid w:val="39AC7695"/>
    <w:rsid w:val="3B595D5A"/>
    <w:rsid w:val="3B6356E7"/>
    <w:rsid w:val="3BD74C6F"/>
    <w:rsid w:val="3C593317"/>
    <w:rsid w:val="3C9130F8"/>
    <w:rsid w:val="3D0304FA"/>
    <w:rsid w:val="3D521DA4"/>
    <w:rsid w:val="3D735726"/>
    <w:rsid w:val="3DC6247C"/>
    <w:rsid w:val="3E830E71"/>
    <w:rsid w:val="3EAB27DD"/>
    <w:rsid w:val="3ED54E5D"/>
    <w:rsid w:val="3EED518E"/>
    <w:rsid w:val="3EFE511C"/>
    <w:rsid w:val="3FDF7ABC"/>
    <w:rsid w:val="40230913"/>
    <w:rsid w:val="40AB4049"/>
    <w:rsid w:val="40CD2698"/>
    <w:rsid w:val="40CD663E"/>
    <w:rsid w:val="40DB254D"/>
    <w:rsid w:val="411F3AB6"/>
    <w:rsid w:val="41223090"/>
    <w:rsid w:val="41483088"/>
    <w:rsid w:val="415767BC"/>
    <w:rsid w:val="417A609B"/>
    <w:rsid w:val="41DE7933"/>
    <w:rsid w:val="420D4DC1"/>
    <w:rsid w:val="42F74F4A"/>
    <w:rsid w:val="43081FD2"/>
    <w:rsid w:val="43115152"/>
    <w:rsid w:val="43A83162"/>
    <w:rsid w:val="44524ADB"/>
    <w:rsid w:val="44DC6463"/>
    <w:rsid w:val="44FC0376"/>
    <w:rsid w:val="456732AE"/>
    <w:rsid w:val="461A7878"/>
    <w:rsid w:val="46C4208E"/>
    <w:rsid w:val="482C44F0"/>
    <w:rsid w:val="48D6696F"/>
    <w:rsid w:val="491C062D"/>
    <w:rsid w:val="4934567D"/>
    <w:rsid w:val="497910BA"/>
    <w:rsid w:val="498F0950"/>
    <w:rsid w:val="49A02B51"/>
    <w:rsid w:val="49C55396"/>
    <w:rsid w:val="4A5635A2"/>
    <w:rsid w:val="4AC701E3"/>
    <w:rsid w:val="4B8164A7"/>
    <w:rsid w:val="4CA52558"/>
    <w:rsid w:val="4D5077F8"/>
    <w:rsid w:val="4E261A0B"/>
    <w:rsid w:val="4EB552F9"/>
    <w:rsid w:val="4EF45D23"/>
    <w:rsid w:val="4F276EA6"/>
    <w:rsid w:val="4FE071D3"/>
    <w:rsid w:val="50DB2948"/>
    <w:rsid w:val="51517B6B"/>
    <w:rsid w:val="51695C78"/>
    <w:rsid w:val="51BF2D4A"/>
    <w:rsid w:val="52FF482A"/>
    <w:rsid w:val="537F201B"/>
    <w:rsid w:val="53D60CBA"/>
    <w:rsid w:val="54477AF1"/>
    <w:rsid w:val="55111319"/>
    <w:rsid w:val="551558C4"/>
    <w:rsid w:val="557D393F"/>
    <w:rsid w:val="559162BE"/>
    <w:rsid w:val="577348A5"/>
    <w:rsid w:val="578A33C4"/>
    <w:rsid w:val="57A15D2D"/>
    <w:rsid w:val="57C51814"/>
    <w:rsid w:val="58335033"/>
    <w:rsid w:val="59750B61"/>
    <w:rsid w:val="59D03793"/>
    <w:rsid w:val="59D611D1"/>
    <w:rsid w:val="5AEA12E1"/>
    <w:rsid w:val="5AF37011"/>
    <w:rsid w:val="5AFE36C8"/>
    <w:rsid w:val="5B130F3C"/>
    <w:rsid w:val="5B877FBD"/>
    <w:rsid w:val="5BB77799"/>
    <w:rsid w:val="5BD04B55"/>
    <w:rsid w:val="5CAB2FF8"/>
    <w:rsid w:val="5D7363AE"/>
    <w:rsid w:val="5DB06EC8"/>
    <w:rsid w:val="5DB3219F"/>
    <w:rsid w:val="5DC34B1B"/>
    <w:rsid w:val="5E220155"/>
    <w:rsid w:val="5EB0591A"/>
    <w:rsid w:val="5F532E8D"/>
    <w:rsid w:val="60B37EF7"/>
    <w:rsid w:val="60C33FD6"/>
    <w:rsid w:val="60D25A13"/>
    <w:rsid w:val="6131405D"/>
    <w:rsid w:val="619F70B1"/>
    <w:rsid w:val="61EF3130"/>
    <w:rsid w:val="6298239E"/>
    <w:rsid w:val="62D941E0"/>
    <w:rsid w:val="63945DA2"/>
    <w:rsid w:val="63A803A3"/>
    <w:rsid w:val="63B059BE"/>
    <w:rsid w:val="652A0B5F"/>
    <w:rsid w:val="658F192A"/>
    <w:rsid w:val="65C31CF6"/>
    <w:rsid w:val="663250EA"/>
    <w:rsid w:val="66356B66"/>
    <w:rsid w:val="66AA523D"/>
    <w:rsid w:val="682C1770"/>
    <w:rsid w:val="686C3978"/>
    <w:rsid w:val="68E94B4B"/>
    <w:rsid w:val="69561A29"/>
    <w:rsid w:val="696B7FCE"/>
    <w:rsid w:val="6A673AF8"/>
    <w:rsid w:val="6ACA170E"/>
    <w:rsid w:val="6B2C3CAB"/>
    <w:rsid w:val="6BD17653"/>
    <w:rsid w:val="6BFA1E4E"/>
    <w:rsid w:val="6C29459C"/>
    <w:rsid w:val="6CE62608"/>
    <w:rsid w:val="6CF810A4"/>
    <w:rsid w:val="6D3F477B"/>
    <w:rsid w:val="6DBF0027"/>
    <w:rsid w:val="6E3A1C7A"/>
    <w:rsid w:val="6E3B4E34"/>
    <w:rsid w:val="6FC10C2D"/>
    <w:rsid w:val="6FE838FB"/>
    <w:rsid w:val="702937CF"/>
    <w:rsid w:val="7031209E"/>
    <w:rsid w:val="70DA234D"/>
    <w:rsid w:val="70E8003F"/>
    <w:rsid w:val="712156B5"/>
    <w:rsid w:val="718D3EB3"/>
    <w:rsid w:val="72564819"/>
    <w:rsid w:val="727675F4"/>
    <w:rsid w:val="72997248"/>
    <w:rsid w:val="72C14BDE"/>
    <w:rsid w:val="72EF6111"/>
    <w:rsid w:val="72F26539"/>
    <w:rsid w:val="7335792D"/>
    <w:rsid w:val="7388058D"/>
    <w:rsid w:val="73F67EA6"/>
    <w:rsid w:val="74191E5D"/>
    <w:rsid w:val="7430591C"/>
    <w:rsid w:val="74473F92"/>
    <w:rsid w:val="746E6BEC"/>
    <w:rsid w:val="74C345DA"/>
    <w:rsid w:val="755C4E05"/>
    <w:rsid w:val="7565310D"/>
    <w:rsid w:val="75B73B82"/>
    <w:rsid w:val="7668334E"/>
    <w:rsid w:val="766B3843"/>
    <w:rsid w:val="76B35E2E"/>
    <w:rsid w:val="76C84AB7"/>
    <w:rsid w:val="76F77A59"/>
    <w:rsid w:val="782E166F"/>
    <w:rsid w:val="783D406A"/>
    <w:rsid w:val="78642D7D"/>
    <w:rsid w:val="787B6681"/>
    <w:rsid w:val="78AD7774"/>
    <w:rsid w:val="792C0B6E"/>
    <w:rsid w:val="79857AF6"/>
    <w:rsid w:val="79AC6AF8"/>
    <w:rsid w:val="79C52C62"/>
    <w:rsid w:val="79D70E1F"/>
    <w:rsid w:val="79E87063"/>
    <w:rsid w:val="7A464EFC"/>
    <w:rsid w:val="7A4A1CBA"/>
    <w:rsid w:val="7A502F74"/>
    <w:rsid w:val="7A9255A4"/>
    <w:rsid w:val="7A9C7308"/>
    <w:rsid w:val="7AE80E52"/>
    <w:rsid w:val="7B0973FD"/>
    <w:rsid w:val="7C3B5569"/>
    <w:rsid w:val="7C7534F7"/>
    <w:rsid w:val="7CA2119E"/>
    <w:rsid w:val="7D7017BC"/>
    <w:rsid w:val="7DE36053"/>
    <w:rsid w:val="7E2B5693"/>
    <w:rsid w:val="7E4B0D41"/>
    <w:rsid w:val="7EC710FC"/>
    <w:rsid w:val="7F005F4C"/>
    <w:rsid w:val="7F6E2323"/>
    <w:rsid w:val="7F93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47</TotalTime>
  <ScaleCrop>false</ScaleCrop>
  <LinksUpToDate>false</LinksUpToDate>
  <CharactersWithSpaces>4729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cw</cp:lastModifiedBy>
  <cp:lastPrinted>2021-01-27T11:28:00Z</cp:lastPrinted>
  <dcterms:modified xsi:type="dcterms:W3CDTF">2025-01-18T04:29:32Z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