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bookmarkStart w:id="0" w:name="_GoBack"/>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部门预算</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r>
        <w:rPr>
          <w:rFonts w:hint="eastAsia" w:eastAsia="方正仿宋简体" w:cs="Times New Roman"/>
          <w:sz w:val="32"/>
          <w:szCs w:val="32"/>
          <w:highlight w:val="none"/>
          <w:lang w:val="en-US" w:eastAsia="zh-CN"/>
        </w:rPr>
        <w:t>2025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月</w:t>
      </w:r>
      <w:r>
        <w:rPr>
          <w:rFonts w:hint="eastAsia" w:eastAsia="方正仿宋简体" w:cs="Times New Roman"/>
          <w:sz w:val="32"/>
          <w:szCs w:val="32"/>
          <w:highlight w:val="none"/>
          <w:lang w:val="en-US" w:eastAsia="zh-CN"/>
        </w:rPr>
        <w:t>18</w:t>
      </w:r>
      <w:r>
        <w:rPr>
          <w:rFonts w:hint="default" w:ascii="Times New Roman" w:hAnsi="Times New Roman" w:eastAsia="方正仿宋简体" w:cs="Times New Roman"/>
          <w:sz w:val="32"/>
          <w:szCs w:val="32"/>
          <w:highlight w:val="none"/>
        </w:rPr>
        <w:t>日</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snapToGrid/>
        <w:spacing w:line="576" w:lineRule="exact"/>
        <w:ind w:firstLine="3520" w:firstLineChars="8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  录</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第一部分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一、主要职能</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二、部门机构设置情况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第二部分 </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预算明细表</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 xml:space="preserve">第三部分 </w:t>
      </w:r>
      <w:r>
        <w:rPr>
          <w:rFonts w:hint="eastAsia" w:ascii="方正黑体简体" w:hAnsi="方正黑体简体" w:eastAsia="方正黑体简体" w:cs="方正黑体简体"/>
          <w:sz w:val="32"/>
          <w:szCs w:val="32"/>
          <w:highlight w:val="none"/>
          <w:lang w:val="en-US" w:eastAsia="zh-CN"/>
        </w:rPr>
        <w:t xml:space="preserve"> </w:t>
      </w:r>
      <w:r>
        <w:rPr>
          <w:rFonts w:hint="eastAsia" w:ascii="方正黑体简体" w:hAnsi="方正黑体简体" w:eastAsia="方正黑体简体" w:cs="方正黑体简体"/>
          <w:sz w:val="32"/>
          <w:szCs w:val="32"/>
          <w:highlight w:val="none"/>
          <w:lang w:eastAsia="zh-CN"/>
        </w:rPr>
        <w:t>那曲市纪委监委</w:t>
      </w:r>
      <w:r>
        <w:rPr>
          <w:rFonts w:hint="eastAsia" w:ascii="方正黑体简体" w:hAnsi="方正黑体简体" w:eastAsia="方正黑体简体" w:cs="方正黑体简体"/>
          <w:sz w:val="32"/>
          <w:szCs w:val="32"/>
          <w:highlight w:val="none"/>
        </w:rPr>
        <w:t>预算数据分析</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一、部门收支总体情况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二、部门收入总体情况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三、部门支出总体情况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五、一般公共预算支出总体情况（按功能分类科目）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六、一般公共预算基本支出总体情况（按经济分类款级科目）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七、一般公共预算“三公”经费支出总体情况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九、政府性基金“三公”经费支出总体情况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十、其他重要事项情况说明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第四部分  名词解释</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第一部分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numPr>
          <w:ilvl w:val="0"/>
          <w:numId w:val="1"/>
        </w:numPr>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highlight w:val="none"/>
        </w:rPr>
      </w:pPr>
      <w:r>
        <w:rPr>
          <w:rFonts w:hint="default" w:ascii="Times New Roman" w:hAnsi="Times New Roman" w:eastAsia="方正仿宋简体" w:cs="Times New Roman"/>
          <w:b w:val="0"/>
          <w:bCs w:val="0"/>
          <w:sz w:val="32"/>
          <w:szCs w:val="32"/>
          <w:highlight w:val="none"/>
        </w:rPr>
        <w:t>市纪委（监察委）的主要职责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主管全市纪律检查工作，履行监督、执纪、问责职责，经常对党员进行遵守纪律的教育，做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主管全市监察工作，履行监督、调查、处置职责，对公职人员开展廉政教育，对其依法履职、秉公用权、廉洁从政从业以及道德操守情况进行监督检查；对涉嫌贪污贿赂、滥用职权、玩忽职守、权力寻租、利益输送、徇私舞弊以及浪费国家资产等职务违法和职务犯罪进行调查；对违法的公职人员依法做出政务处分决定，对履行职责不力、失职失责的领导人员进行问责，对涉嫌职务犯罪的将调查结果移送检察机关依法提起公诉，对在行使职权中存在的问题提出监察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督促全市各级党的组织落实全面从严治党的主体责任，履行对各级党的组织和党员的监督责任。对履行全面从严治党主体责任、监督责任不力，造成严重后果的，提出问责建议。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把党的纪律和规矩挺在前面，运用监督执纪“四种形态”，建立完善党内监督体系。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负责受理对监察对象职务违法和职务犯罪行为的控告、检举；受理监察对象不服监察机关涉及本人处理决定的申诉，以及法律法规规定的其他由监察机关受理的申诉等。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（6）</w:t>
      </w:r>
      <w:r>
        <w:rPr>
          <w:rFonts w:hint="default" w:ascii="Times New Roman" w:hAnsi="Times New Roman" w:eastAsia="方正仿宋简体" w:cs="Times New Roman"/>
          <w:sz w:val="32"/>
          <w:szCs w:val="32"/>
          <w:highlight w:val="none"/>
        </w:rPr>
        <w:t>负责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（7）</w:t>
      </w:r>
      <w:r>
        <w:rPr>
          <w:rFonts w:hint="default" w:ascii="Times New Roman" w:hAnsi="Times New Roman" w:eastAsia="方正仿宋简体" w:cs="Times New Roman"/>
          <w:sz w:val="32"/>
          <w:szCs w:val="32"/>
          <w:highlight w:val="none"/>
        </w:rPr>
        <w:t>协助市委推进全面从严治党、加强党风建设和组织协调反腐败工作，督促检查各县区、各部门贯彻落实党风廉政建设责任制的情况。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（8）</w:t>
      </w:r>
      <w:r>
        <w:rPr>
          <w:rFonts w:hint="default" w:ascii="Times New Roman" w:hAnsi="Times New Roman" w:eastAsia="方正仿宋简体" w:cs="Times New Roman"/>
          <w:sz w:val="32"/>
          <w:szCs w:val="32"/>
          <w:highlight w:val="none"/>
        </w:rPr>
        <w:t>组织协调纠正部门和行业不正之风工作并监督检查。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（9）</w:t>
      </w:r>
      <w:r>
        <w:rPr>
          <w:rFonts w:hint="default" w:ascii="Times New Roman" w:hAnsi="Times New Roman" w:eastAsia="方正仿宋简体" w:cs="Times New Roman"/>
          <w:sz w:val="32"/>
          <w:szCs w:val="32"/>
          <w:highlight w:val="none"/>
        </w:rPr>
        <w:t>对全市各级纪委、监察委在党内监督和国家监察中做出的决定进行审查，纠正错误决定。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调查全市党的组织和党员、监察对象遵纪守法情况，研究党风党纪、廉政建设中出现的带普遍性、倾向性的问题以及监察工作中具体应用法律问题，向有关方面提出相关建议；建立完善党内法规、制度，拟定党纪条规和政策规定；制定全市有关监察工作的具体规定、办法和实施细则等地方性法规制度，并组织监督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（11）</w:t>
      </w:r>
      <w:r>
        <w:rPr>
          <w:rFonts w:hint="default" w:ascii="Times New Roman" w:hAnsi="Times New Roman" w:eastAsia="方正仿宋简体" w:cs="Times New Roman"/>
          <w:sz w:val="32"/>
          <w:szCs w:val="32"/>
          <w:highlight w:val="none"/>
        </w:rPr>
        <w:t>依法向市人民代表大会及其常务委员会提出议案。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（12）</w:t>
      </w:r>
      <w:r>
        <w:rPr>
          <w:rFonts w:hint="default" w:ascii="Times New Roman" w:hAnsi="Times New Roman" w:eastAsia="方正仿宋简体" w:cs="Times New Roman"/>
          <w:sz w:val="32"/>
          <w:szCs w:val="32"/>
          <w:highlight w:val="none"/>
        </w:rPr>
        <w:t>开展反腐败追逃追赃和防逃工作。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（13）</w:t>
      </w:r>
      <w:r>
        <w:rPr>
          <w:rFonts w:hint="default" w:ascii="Times New Roman" w:hAnsi="Times New Roman" w:eastAsia="方正仿宋简体" w:cs="Times New Roman"/>
          <w:sz w:val="32"/>
          <w:szCs w:val="32"/>
          <w:highlight w:val="none"/>
        </w:rPr>
        <w:t>领导全市各级纪检监察机关的工作，部署全市纪检监察工作任务；负责全市纪检监察系统的组织建设，按照干部管理权限，落实好“三个提名办法”，会同有关部门对县区纪委书记副书记、市纪委监察委派驻纪检监察组组长副组长提名和考察。考察推荐县区纪委监察委其他领导干部人选，对市纪委监察委派驻机构进行工作考核，对派驻机构其他干部进行考察，提出任职人选和免职意见；组织指导全市纪检监察系统干部培训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（14）</w:t>
      </w:r>
      <w:r>
        <w:rPr>
          <w:rFonts w:hint="default" w:ascii="Times New Roman" w:hAnsi="Times New Roman" w:eastAsia="方正仿宋简体" w:cs="Times New Roman"/>
          <w:sz w:val="32"/>
          <w:szCs w:val="32"/>
          <w:highlight w:val="none"/>
        </w:rPr>
        <w:t>承办自治区纪委和市委授权和交办的其他事项。</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二、部门机构设置情况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市纪委监察委设</w:t>
      </w:r>
      <w:r>
        <w:rPr>
          <w:rFonts w:hint="default" w:ascii="Times New Roman" w:hAnsi="Times New Roman" w:eastAsia="方正仿宋简体" w:cs="Times New Roman"/>
          <w:sz w:val="32"/>
          <w:szCs w:val="32"/>
          <w:highlight w:val="none"/>
          <w:lang w:val="en-US" w:eastAsia="zh-CN"/>
        </w:rPr>
        <w:t>24</w:t>
      </w:r>
      <w:r>
        <w:rPr>
          <w:rFonts w:hint="default" w:ascii="Times New Roman" w:hAnsi="Times New Roman" w:eastAsia="方正仿宋简体" w:cs="Times New Roman"/>
          <w:sz w:val="32"/>
          <w:szCs w:val="32"/>
          <w:highlight w:val="none"/>
        </w:rPr>
        <w:t>个内设机构</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办公室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宣传部、</w:t>
      </w:r>
      <w:r>
        <w:rPr>
          <w:rFonts w:hint="default" w:ascii="Times New Roman" w:hAnsi="Times New Roman" w:eastAsia="方正仿宋简体" w:cs="Times New Roman"/>
          <w:sz w:val="32"/>
          <w:szCs w:val="32"/>
          <w:highlight w:val="none"/>
          <w:lang w:eastAsia="zh-CN"/>
        </w:rPr>
        <w:t>政策研究和法规室）、</w:t>
      </w:r>
      <w:r>
        <w:rPr>
          <w:rFonts w:hint="default" w:ascii="Times New Roman" w:hAnsi="Times New Roman" w:eastAsia="方正仿宋简体" w:cs="Times New Roman"/>
          <w:sz w:val="32"/>
          <w:szCs w:val="32"/>
          <w:highlight w:val="none"/>
        </w:rPr>
        <w:t>组织部、党风政风监督室、案件监督管理室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信访室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、案件审理室、纪检监察干部监督室</w:t>
      </w:r>
      <w:r>
        <w:rPr>
          <w:rFonts w:hint="default" w:ascii="Times New Roman" w:hAnsi="Times New Roman" w:eastAsia="方正仿宋简体" w:cs="Times New Roman"/>
          <w:sz w:val="32"/>
          <w:szCs w:val="32"/>
          <w:highlight w:val="none"/>
          <w:lang w:eastAsia="zh-CN"/>
        </w:rPr>
        <w:t>、纪检监察信息中心（纪检监察网络中心）、后勤服务中心、联合财务室、留置管理中心、</w:t>
      </w:r>
      <w:r>
        <w:rPr>
          <w:rFonts w:hint="default" w:ascii="Times New Roman" w:hAnsi="Times New Roman" w:eastAsia="方正仿宋简体" w:cs="Times New Roman"/>
          <w:sz w:val="32"/>
          <w:szCs w:val="32"/>
          <w:highlight w:val="none"/>
        </w:rPr>
        <w:t>第一监督检查室、第二监督检查室、第三监督检查室、第</w:t>
      </w:r>
      <w:r>
        <w:rPr>
          <w:rFonts w:hint="default" w:ascii="Times New Roman" w:hAnsi="Times New Roman" w:eastAsia="方正仿宋简体" w:cs="Times New Roman"/>
          <w:sz w:val="32"/>
          <w:szCs w:val="32"/>
          <w:highlight w:val="none"/>
          <w:lang w:eastAsia="zh-CN"/>
        </w:rPr>
        <w:t>四</w:t>
      </w:r>
      <w:r>
        <w:rPr>
          <w:rFonts w:hint="default" w:ascii="Times New Roman" w:hAnsi="Times New Roman" w:eastAsia="方正仿宋简体" w:cs="Times New Roman"/>
          <w:sz w:val="32"/>
          <w:szCs w:val="32"/>
          <w:highlight w:val="none"/>
        </w:rPr>
        <w:t>监督检查室</w:t>
      </w:r>
      <w:r>
        <w:rPr>
          <w:rFonts w:hint="default" w:ascii="Times New Roman" w:hAnsi="Times New Roman" w:eastAsia="方正仿宋简体" w:cs="Times New Roman"/>
          <w:sz w:val="32"/>
          <w:szCs w:val="32"/>
          <w:highlight w:val="none"/>
          <w:lang w:eastAsia="zh-CN"/>
        </w:rPr>
        <w:t>、第五监督检查室、</w:t>
      </w:r>
      <w:r>
        <w:rPr>
          <w:rFonts w:hint="default" w:ascii="Times New Roman" w:hAnsi="Times New Roman" w:eastAsia="方正仿宋简体" w:cs="Times New Roman"/>
          <w:sz w:val="32"/>
          <w:szCs w:val="32"/>
          <w:highlight w:val="none"/>
        </w:rPr>
        <w:t>第</w:t>
      </w:r>
      <w:r>
        <w:rPr>
          <w:rFonts w:hint="default" w:ascii="Times New Roman" w:hAnsi="Times New Roman" w:eastAsia="方正仿宋简体" w:cs="Times New Roman"/>
          <w:sz w:val="32"/>
          <w:szCs w:val="32"/>
          <w:highlight w:val="none"/>
          <w:lang w:eastAsia="zh-CN"/>
        </w:rPr>
        <w:t>六监督检查室</w:t>
      </w:r>
      <w:r>
        <w:rPr>
          <w:rFonts w:hint="default" w:ascii="Times New Roman" w:hAnsi="Times New Roman" w:eastAsia="方正仿宋简体" w:cs="Times New Roman"/>
          <w:sz w:val="32"/>
          <w:szCs w:val="32"/>
          <w:highlight w:val="none"/>
        </w:rPr>
        <w:t>、第</w:t>
      </w:r>
      <w:r>
        <w:rPr>
          <w:rFonts w:hint="default" w:ascii="Times New Roman" w:hAnsi="Times New Roman" w:eastAsia="方正仿宋简体" w:cs="Times New Roman"/>
          <w:sz w:val="32"/>
          <w:szCs w:val="32"/>
          <w:highlight w:val="none"/>
          <w:lang w:eastAsia="zh-CN"/>
        </w:rPr>
        <w:t>七监督检查室、第八监督检查室、驻市委办公室纪检监察组、驻市委宣传部纪检监察组、驻市委统战部纪检监察组、驻市委政法委纪检监察组、驻市政府办公室纪检监察组、驻市发改委纪检监察组。</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第二部分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那曲市纪委监委</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年度预算明细表（表格详见附件）</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第三部分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那曲市纪委监委</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部门预算数据分析</w:t>
      </w: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eastAsia" w:ascii="方正小标宋简体" w:hAnsi="方正小标宋简体" w:eastAsia="方正小标宋简体" w:cs="方正小标宋简体"/>
          <w:sz w:val="32"/>
          <w:szCs w:val="32"/>
          <w:highlight w:val="none"/>
        </w:rPr>
      </w:pP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一、部门收支总体情况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收支总预算</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万元。收入包括：一般公共预算拨款收入</w:t>
      </w:r>
      <w:r>
        <w:rPr>
          <w:rFonts w:hint="eastAsia"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、上年结转</w:t>
      </w:r>
      <w:r>
        <w:rPr>
          <w:rFonts w:hint="eastAsia"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；支出包括：一般公共服务支出</w:t>
      </w:r>
      <w:r>
        <w:rPr>
          <w:rFonts w:hint="eastAsia" w:eastAsia="方正仿宋简体" w:cs="Times New Roman"/>
          <w:sz w:val="32"/>
          <w:szCs w:val="32"/>
          <w:highlight w:val="none"/>
          <w:lang w:val="en-US" w:eastAsia="zh-CN"/>
        </w:rPr>
        <w:t>4895.12</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、社会保障和就业支出</w:t>
      </w:r>
      <w:r>
        <w:rPr>
          <w:rFonts w:hint="eastAsia" w:eastAsia="方正仿宋简体" w:cs="Times New Roman"/>
          <w:sz w:val="32"/>
          <w:szCs w:val="32"/>
          <w:highlight w:val="none"/>
          <w:lang w:val="en-US" w:eastAsia="zh-CN"/>
        </w:rPr>
        <w:t>436.36</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、卫生健康支出</w:t>
      </w:r>
      <w:r>
        <w:rPr>
          <w:rFonts w:hint="eastAsia" w:eastAsia="方正仿宋简体" w:cs="Times New Roman"/>
          <w:sz w:val="32"/>
          <w:szCs w:val="32"/>
          <w:highlight w:val="none"/>
          <w:lang w:val="en-US" w:eastAsia="zh-CN"/>
        </w:rPr>
        <w:t>259.13</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、住房保障支出</w:t>
      </w:r>
      <w:r>
        <w:rPr>
          <w:rFonts w:hint="eastAsia" w:eastAsia="方正仿宋简体" w:cs="Times New Roman"/>
          <w:sz w:val="32"/>
          <w:szCs w:val="32"/>
          <w:highlight w:val="none"/>
          <w:lang w:val="en-US" w:eastAsia="zh-CN"/>
        </w:rPr>
        <w:t>300.01</w:t>
      </w:r>
      <w:r>
        <w:rPr>
          <w:rFonts w:hint="default" w:ascii="Times New Roman" w:hAnsi="Times New Roman" w:eastAsia="方正仿宋简体" w:cs="Times New Roman"/>
          <w:sz w:val="32"/>
          <w:szCs w:val="32"/>
          <w:highlight w:val="none"/>
          <w:lang w:val="en-US" w:eastAsia="zh-CN"/>
        </w:rPr>
        <w:t>万元</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二、部门收入总体情况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收入预算总量</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同比减少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率</w:t>
      </w:r>
      <w:r>
        <w:rPr>
          <w:rFonts w:hint="eastAsia"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val="en-US" w:eastAsia="zh-CN"/>
        </w:rPr>
        <w:t>1.2025年根据那曲市财政局要求，那曲市纪委监委和市委巡察办独立核算，导致今年收入减少</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2.2024年因工作需要新增12-26项目，项目经费收入总体比2024年增加566.98万元。</w:t>
      </w:r>
      <w:r>
        <w:rPr>
          <w:rFonts w:hint="default" w:ascii="Times New Roman" w:hAnsi="Times New Roman" w:eastAsia="方正仿宋简体" w:cs="Times New Roman"/>
          <w:sz w:val="32"/>
          <w:szCs w:val="32"/>
          <w:highlight w:val="none"/>
        </w:rPr>
        <w:t>其中：2024年一般公共预算拨款收入</w:t>
      </w:r>
      <w:r>
        <w:rPr>
          <w:rFonts w:hint="eastAsia"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88</w:t>
      </w:r>
      <w:r>
        <w:rPr>
          <w:rFonts w:hint="default" w:ascii="Times New Roman" w:hAnsi="Times New Roman" w:eastAsia="方正仿宋简体" w:cs="Times New Roman"/>
          <w:sz w:val="32"/>
          <w:szCs w:val="32"/>
          <w:highlight w:val="none"/>
        </w:rPr>
        <w:t>%；上年结转</w:t>
      </w:r>
      <w:r>
        <w:rPr>
          <w:rFonts w:hint="eastAsia"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12</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三、部门支出总体情况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支出预算总量</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同比减少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率</w:t>
      </w:r>
      <w:r>
        <w:rPr>
          <w:rFonts w:hint="eastAsia" w:eastAsia="方正仿宋简体" w:cs="Times New Roman"/>
          <w:sz w:val="32"/>
          <w:szCs w:val="32"/>
          <w:highlight w:val="none"/>
          <w:lang w:val="en-US" w:eastAsia="zh-CN"/>
        </w:rPr>
        <w:t>15%</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eastAsia" w:eastAsia="方正仿宋简体" w:cs="Times New Roman"/>
          <w:sz w:val="32"/>
          <w:szCs w:val="32"/>
          <w:highlight w:val="none"/>
          <w:lang w:val="en-US" w:eastAsia="zh-CN"/>
        </w:rPr>
        <w:t>1.2025年根据那曲市财政局要求，那曲市纪委监委和市委巡察办独立核算，导致支出预算总量减少</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2.2024年因工作需要新增12-26项目，所以项目经费支出总体比2024年增加566.98万元。</w:t>
      </w:r>
      <w:r>
        <w:rPr>
          <w:rFonts w:hint="default" w:ascii="Times New Roman" w:hAnsi="Times New Roman" w:eastAsia="方正仿宋简体" w:cs="Times New Roman"/>
          <w:sz w:val="32"/>
          <w:szCs w:val="32"/>
          <w:highlight w:val="none"/>
        </w:rPr>
        <w:t>其中：基本支出</w:t>
      </w:r>
      <w:r>
        <w:rPr>
          <w:rFonts w:hint="eastAsia" w:eastAsia="方正仿宋简体" w:cs="Times New Roman"/>
          <w:sz w:val="32"/>
          <w:szCs w:val="32"/>
          <w:highlight w:val="none"/>
          <w:lang w:val="en-US" w:eastAsia="zh-CN"/>
        </w:rPr>
        <w:t>4592.13</w:t>
      </w:r>
      <w:r>
        <w:rPr>
          <w:rFonts w:hint="default" w:ascii="Times New Roman" w:hAnsi="Times New Roman" w:eastAsia="方正仿宋简体" w:cs="Times New Roman"/>
          <w:sz w:val="32"/>
          <w:szCs w:val="32"/>
          <w:highlight w:val="none"/>
        </w:rPr>
        <w:t>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78%，</w:t>
      </w:r>
      <w:r>
        <w:rPr>
          <w:rFonts w:hint="default" w:ascii="Times New Roman" w:hAnsi="Times New Roman" w:eastAsia="方正仿宋简体" w:cs="Times New Roman"/>
          <w:sz w:val="32"/>
          <w:szCs w:val="32"/>
          <w:highlight w:val="none"/>
        </w:rPr>
        <w:t>项目支</w:t>
      </w:r>
      <w:r>
        <w:rPr>
          <w:rFonts w:hint="default" w:ascii="Times New Roman" w:hAnsi="Times New Roman" w:eastAsia="方正仿宋简体" w:cs="Times New Roman"/>
          <w:sz w:val="32"/>
          <w:szCs w:val="32"/>
          <w:highlight w:val="none"/>
          <w:lang w:eastAsia="zh-CN"/>
        </w:rPr>
        <w:t>出</w:t>
      </w:r>
      <w:r>
        <w:rPr>
          <w:rFonts w:hint="eastAsia" w:eastAsia="方正仿宋简体" w:cs="Times New Roman"/>
          <w:sz w:val="32"/>
          <w:szCs w:val="32"/>
          <w:highlight w:val="none"/>
          <w:lang w:val="en-US" w:eastAsia="zh-CN"/>
        </w:rPr>
        <w:t>1298.49</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22%</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财政拨款收支总预算</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万元，同比</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1013.27</w:t>
      </w:r>
      <w:r>
        <w:rPr>
          <w:rFonts w:hint="default" w:ascii="Times New Roman" w:hAnsi="Times New Roman" w:eastAsia="方正仿宋简体" w:cs="Times New Roman"/>
          <w:sz w:val="32"/>
          <w:szCs w:val="32"/>
          <w:highlight w:val="none"/>
        </w:rPr>
        <w:t>万元，主要原因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2025年</w:t>
      </w:r>
      <w:r>
        <w:rPr>
          <w:rFonts w:hint="eastAsia" w:eastAsia="方正仿宋简体" w:cs="Times New Roman"/>
          <w:sz w:val="32"/>
          <w:szCs w:val="32"/>
          <w:highlight w:val="none"/>
          <w:lang w:val="en-US" w:eastAsia="zh-CN"/>
        </w:rPr>
        <w:t>根据</w:t>
      </w:r>
      <w:r>
        <w:rPr>
          <w:rFonts w:hint="default" w:ascii="Times New Roman" w:hAnsi="Times New Roman" w:eastAsia="方正仿宋简体" w:cs="Times New Roman"/>
          <w:sz w:val="32"/>
          <w:szCs w:val="32"/>
          <w:highlight w:val="none"/>
          <w:lang w:val="en-US" w:eastAsia="zh-CN"/>
        </w:rPr>
        <w:t>那曲市财政局要求，那曲市纪委监委和市委巡察办独立核算</w:t>
      </w:r>
      <w:r>
        <w:rPr>
          <w:rFonts w:hint="eastAsia" w:eastAsia="方正仿宋简体" w:cs="Times New Roman"/>
          <w:sz w:val="32"/>
          <w:szCs w:val="32"/>
          <w:highlight w:val="none"/>
          <w:lang w:val="en-US" w:eastAsia="zh-CN"/>
        </w:rPr>
        <w:t>，导致财政拨款收支减少</w:t>
      </w:r>
      <w:r>
        <w:rPr>
          <w:rFonts w:hint="default" w:ascii="Times New Roman" w:hAnsi="Times New Roman"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2.2024年因工作需要新增12-26项目，项目经费收入总体比2024年增加566.98万元。</w:t>
      </w:r>
      <w:r>
        <w:rPr>
          <w:rFonts w:hint="default" w:ascii="Times New Roman" w:hAnsi="Times New Roman" w:eastAsia="方正仿宋简体" w:cs="Times New Roman"/>
          <w:sz w:val="32"/>
          <w:szCs w:val="32"/>
          <w:highlight w:val="none"/>
        </w:rPr>
        <w:t>其收入包括：一般公共预算当年拨款收入</w:t>
      </w:r>
      <w:r>
        <w:rPr>
          <w:rFonts w:hint="default" w:ascii="Times New Roman" w:hAnsi="Times New Roman" w:eastAsia="方正仿宋简体" w:cs="Times New Roman"/>
          <w:sz w:val="32"/>
          <w:szCs w:val="32"/>
          <w:highlight w:val="none"/>
          <w:lang w:val="en-US" w:eastAsia="zh-CN"/>
        </w:rPr>
        <w:t>5189.61</w:t>
      </w:r>
      <w:r>
        <w:rPr>
          <w:rFonts w:hint="default" w:ascii="Times New Roman" w:hAnsi="Times New Roman" w:eastAsia="方正仿宋简体" w:cs="Times New Roman"/>
          <w:sz w:val="32"/>
          <w:szCs w:val="32"/>
          <w:highlight w:val="none"/>
        </w:rPr>
        <w:t>万元、上年结转</w:t>
      </w:r>
      <w:r>
        <w:rPr>
          <w:rFonts w:hint="default" w:ascii="Times New Roman" w:hAnsi="Times New Roman" w:eastAsia="方正仿宋简体" w:cs="Times New Roman"/>
          <w:sz w:val="32"/>
          <w:szCs w:val="32"/>
          <w:highlight w:val="none"/>
          <w:lang w:val="en-US" w:eastAsia="zh-CN"/>
        </w:rPr>
        <w:t>701.01</w:t>
      </w:r>
      <w:r>
        <w:rPr>
          <w:rFonts w:hint="default" w:ascii="Times New Roman" w:hAnsi="Times New Roman" w:eastAsia="方正仿宋简体" w:cs="Times New Roman"/>
          <w:sz w:val="32"/>
          <w:szCs w:val="32"/>
          <w:highlight w:val="none"/>
        </w:rPr>
        <w:t>万元；支出包括：一般公共服务支出</w:t>
      </w:r>
      <w:r>
        <w:rPr>
          <w:rFonts w:hint="default" w:ascii="Times New Roman" w:hAnsi="Times New Roman" w:eastAsia="方正仿宋简体" w:cs="Times New Roman"/>
          <w:sz w:val="32"/>
          <w:szCs w:val="32"/>
          <w:highlight w:val="none"/>
          <w:lang w:val="en-US" w:eastAsia="zh-CN"/>
        </w:rPr>
        <w:t>4895.12万元</w:t>
      </w:r>
      <w:r>
        <w:rPr>
          <w:rFonts w:hint="default" w:ascii="Times New Roman" w:hAnsi="Times New Roman" w:eastAsia="方正仿宋简体" w:cs="Times New Roman"/>
          <w:sz w:val="32"/>
          <w:szCs w:val="32"/>
          <w:highlight w:val="none"/>
        </w:rPr>
        <w:t>、社会保障和就业支出</w:t>
      </w:r>
      <w:r>
        <w:rPr>
          <w:rFonts w:hint="default" w:ascii="Times New Roman" w:hAnsi="Times New Roman" w:eastAsia="方正仿宋简体" w:cs="Times New Roman"/>
          <w:sz w:val="32"/>
          <w:szCs w:val="32"/>
          <w:highlight w:val="none"/>
          <w:lang w:val="en-US" w:eastAsia="zh-CN"/>
        </w:rPr>
        <w:t>436.36万元</w:t>
      </w:r>
      <w:r>
        <w:rPr>
          <w:rFonts w:hint="default" w:ascii="Times New Roman" w:hAnsi="Times New Roman" w:eastAsia="方正仿宋简体" w:cs="Times New Roman"/>
          <w:sz w:val="32"/>
          <w:szCs w:val="32"/>
          <w:highlight w:val="none"/>
        </w:rPr>
        <w:t>、卫生健康支出</w:t>
      </w:r>
      <w:r>
        <w:rPr>
          <w:rFonts w:hint="default" w:ascii="Times New Roman" w:hAnsi="Times New Roman" w:eastAsia="方正仿宋简体" w:cs="Times New Roman"/>
          <w:sz w:val="32"/>
          <w:szCs w:val="32"/>
          <w:highlight w:val="none"/>
          <w:lang w:val="en-US" w:eastAsia="zh-CN"/>
        </w:rPr>
        <w:t>259.13万元</w:t>
      </w:r>
      <w:r>
        <w:rPr>
          <w:rFonts w:hint="default" w:ascii="Times New Roman" w:hAnsi="Times New Roman" w:eastAsia="方正仿宋简体" w:cs="Times New Roman"/>
          <w:sz w:val="32"/>
          <w:szCs w:val="32"/>
          <w:highlight w:val="none"/>
        </w:rPr>
        <w:t>、住房保障支出</w:t>
      </w:r>
      <w:r>
        <w:rPr>
          <w:rFonts w:hint="default" w:ascii="Times New Roman" w:hAnsi="Times New Roman" w:eastAsia="方正仿宋简体" w:cs="Times New Roman"/>
          <w:sz w:val="32"/>
          <w:szCs w:val="32"/>
          <w:highlight w:val="none"/>
          <w:lang w:val="en-US" w:eastAsia="zh-CN"/>
        </w:rPr>
        <w:t>300.01万元</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五、一般公共预算支出总体情况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方正楷体简体" w:hAnsi="方正楷体简体" w:eastAsia="方正楷体简体" w:cs="方正楷体简体"/>
          <w:sz w:val="32"/>
          <w:szCs w:val="32"/>
          <w:highlight w:val="none"/>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color w:val="auto"/>
          <w:sz w:val="32"/>
          <w:szCs w:val="32"/>
          <w:highlight w:val="none"/>
        </w:rPr>
        <w:t>比202</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年执行数</w:t>
      </w:r>
      <w:r>
        <w:rPr>
          <w:rFonts w:hint="eastAsia" w:eastAsia="方正仿宋简体" w:cs="Times New Roman"/>
          <w:color w:val="auto"/>
          <w:sz w:val="32"/>
          <w:szCs w:val="32"/>
          <w:highlight w:val="none"/>
          <w:lang w:eastAsia="zh-CN"/>
        </w:rPr>
        <w:t>减少</w:t>
      </w:r>
      <w:r>
        <w:rPr>
          <w:rFonts w:hint="eastAsia" w:eastAsia="方正仿宋简体" w:cs="Times New Roman"/>
          <w:color w:val="auto"/>
          <w:sz w:val="32"/>
          <w:szCs w:val="32"/>
          <w:highlight w:val="none"/>
          <w:lang w:val="en-US" w:eastAsia="zh-CN"/>
        </w:rPr>
        <w:t>1013.27</w:t>
      </w:r>
      <w:r>
        <w:rPr>
          <w:rFonts w:hint="default" w:ascii="Times New Roman" w:hAnsi="Times New Roman" w:eastAsia="方正仿宋简体" w:cs="Times New Roman"/>
          <w:color w:val="auto"/>
          <w:sz w:val="32"/>
          <w:szCs w:val="32"/>
          <w:highlight w:val="none"/>
        </w:rPr>
        <w:t>万元，主要原因</w:t>
      </w:r>
      <w:r>
        <w:rPr>
          <w:rFonts w:hint="eastAsia" w:eastAsia="方正仿宋简体" w:cs="Times New Roman"/>
          <w:color w:val="auto"/>
          <w:sz w:val="32"/>
          <w:szCs w:val="32"/>
          <w:highlight w:val="none"/>
          <w:lang w:eastAsia="zh-CN"/>
        </w:rPr>
        <w:t>是</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lang w:val="en-US" w:eastAsia="zh-CN"/>
        </w:rPr>
        <w:t>2025年</w:t>
      </w:r>
      <w:r>
        <w:rPr>
          <w:rFonts w:hint="eastAsia" w:eastAsia="方正仿宋简体" w:cs="Times New Roman"/>
          <w:sz w:val="32"/>
          <w:szCs w:val="32"/>
          <w:highlight w:val="none"/>
          <w:lang w:val="en-US" w:eastAsia="zh-CN"/>
        </w:rPr>
        <w:t>根据</w:t>
      </w:r>
      <w:r>
        <w:rPr>
          <w:rFonts w:hint="default" w:ascii="Times New Roman" w:hAnsi="Times New Roman" w:eastAsia="方正仿宋简体" w:cs="Times New Roman"/>
          <w:sz w:val="32"/>
          <w:szCs w:val="32"/>
          <w:highlight w:val="none"/>
          <w:lang w:val="en-US" w:eastAsia="zh-CN"/>
        </w:rPr>
        <w:t>那曲市财政局要求，那曲市纪委监委和市委巡察办独立核算</w:t>
      </w:r>
      <w:r>
        <w:rPr>
          <w:rFonts w:hint="eastAsia" w:eastAsia="方正仿宋简体" w:cs="Times New Roman"/>
          <w:sz w:val="32"/>
          <w:szCs w:val="32"/>
          <w:highlight w:val="none"/>
          <w:lang w:val="en-US" w:eastAsia="zh-CN"/>
        </w:rPr>
        <w:t>，导致一般公共预算减少</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5890.62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主要用于以下方面：一般公共服务支出</w:t>
      </w:r>
      <w:r>
        <w:rPr>
          <w:rFonts w:hint="eastAsia" w:eastAsia="方正仿宋简体" w:cs="Times New Roman"/>
          <w:sz w:val="32"/>
          <w:szCs w:val="32"/>
          <w:highlight w:val="none"/>
          <w:lang w:val="en-US" w:eastAsia="zh-CN"/>
        </w:rPr>
        <w:t>4895.12</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83.1</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社会保</w:t>
      </w:r>
      <w:r>
        <w:rPr>
          <w:rFonts w:hint="default" w:ascii="Times New Roman" w:hAnsi="Times New Roman" w:eastAsia="方正仿宋简体" w:cs="Times New Roman"/>
          <w:sz w:val="32"/>
          <w:szCs w:val="32"/>
          <w:highlight w:val="none"/>
        </w:rPr>
        <w:t>障和就业支出</w:t>
      </w:r>
      <w:r>
        <w:rPr>
          <w:rFonts w:hint="eastAsia" w:eastAsia="方正仿宋简体" w:cs="Times New Roman"/>
          <w:sz w:val="32"/>
          <w:szCs w:val="32"/>
          <w:highlight w:val="none"/>
          <w:lang w:val="en-US" w:eastAsia="zh-CN"/>
        </w:rPr>
        <w:t>436.36</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7.4%，</w:t>
      </w:r>
      <w:r>
        <w:rPr>
          <w:rFonts w:hint="default" w:ascii="Times New Roman" w:hAnsi="Times New Roman" w:eastAsia="方正仿宋简体" w:cs="Times New Roman"/>
          <w:sz w:val="32"/>
          <w:szCs w:val="32"/>
          <w:highlight w:val="none"/>
        </w:rPr>
        <w:t>卫生健康支出</w:t>
      </w:r>
      <w:r>
        <w:rPr>
          <w:rFonts w:hint="eastAsia" w:eastAsia="方正仿宋简体" w:cs="Times New Roman"/>
          <w:sz w:val="32"/>
          <w:szCs w:val="32"/>
          <w:highlight w:val="none"/>
          <w:lang w:val="en-US" w:eastAsia="zh-CN"/>
        </w:rPr>
        <w:t>259.13</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eastAsia="zh-CN"/>
        </w:rPr>
        <w:t>，占</w:t>
      </w:r>
      <w:r>
        <w:rPr>
          <w:rFonts w:hint="eastAsia" w:eastAsia="方正仿宋简体" w:cs="Times New Roman"/>
          <w:sz w:val="32"/>
          <w:szCs w:val="32"/>
          <w:highlight w:val="none"/>
          <w:lang w:val="en-US" w:eastAsia="zh-CN"/>
        </w:rPr>
        <w:t>4.4%，</w:t>
      </w:r>
      <w:r>
        <w:rPr>
          <w:rFonts w:hint="default" w:ascii="Times New Roman" w:hAnsi="Times New Roman" w:eastAsia="方正仿宋简体" w:cs="Times New Roman"/>
          <w:sz w:val="32"/>
          <w:szCs w:val="32"/>
          <w:highlight w:val="none"/>
        </w:rPr>
        <w:t>住房保障支出</w:t>
      </w:r>
      <w:r>
        <w:rPr>
          <w:rFonts w:hint="eastAsia" w:eastAsia="方正仿宋简体" w:cs="Times New Roman"/>
          <w:sz w:val="32"/>
          <w:szCs w:val="32"/>
          <w:highlight w:val="none"/>
          <w:lang w:val="en-US" w:eastAsia="zh-CN"/>
        </w:rPr>
        <w:t>300.01</w:t>
      </w:r>
      <w:r>
        <w:rPr>
          <w:rFonts w:hint="default" w:ascii="Times New Roman" w:hAnsi="Times New Roman" w:eastAsia="方正仿宋简体" w:cs="Times New Roman"/>
          <w:sz w:val="32"/>
          <w:szCs w:val="32"/>
          <w:highlight w:val="none"/>
          <w:lang w:val="en-US" w:eastAsia="zh-CN"/>
        </w:rPr>
        <w:t>万元</w:t>
      </w:r>
      <w:r>
        <w:rPr>
          <w:rFonts w:hint="eastAsia" w:eastAsia="方正仿宋简体" w:cs="Times New Roman"/>
          <w:sz w:val="32"/>
          <w:szCs w:val="32"/>
          <w:highlight w:val="none"/>
          <w:lang w:val="en-US" w:eastAsia="zh-CN"/>
        </w:rPr>
        <w:t>，占5.1%</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六、一般公共预算基本支出总体情况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年一般公共预算基本支出</w:t>
      </w:r>
      <w:r>
        <w:rPr>
          <w:rFonts w:hint="eastAsia" w:eastAsia="方正仿宋简体" w:cs="Times New Roman"/>
          <w:sz w:val="32"/>
          <w:szCs w:val="32"/>
          <w:highlight w:val="none"/>
          <w:lang w:val="en-US" w:eastAsia="zh-CN"/>
        </w:rPr>
        <w:t>4592.13</w:t>
      </w:r>
      <w:r>
        <w:rPr>
          <w:rFonts w:hint="default" w:ascii="Times New Roman" w:hAnsi="Times New Roman" w:eastAsia="方正仿宋简体" w:cs="Times New Roman"/>
          <w:sz w:val="32"/>
          <w:szCs w:val="32"/>
          <w:highlight w:val="none"/>
        </w:rPr>
        <w:t>万元，其中：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人员经费</w:t>
      </w:r>
      <w:r>
        <w:rPr>
          <w:rFonts w:hint="eastAsia" w:eastAsia="方正仿宋简体" w:cs="Times New Roman"/>
          <w:sz w:val="32"/>
          <w:szCs w:val="32"/>
          <w:highlight w:val="none"/>
          <w:lang w:val="en-US" w:eastAsia="zh-CN"/>
        </w:rPr>
        <w:t>4139.59</w:t>
      </w:r>
      <w:r>
        <w:rPr>
          <w:rFonts w:hint="default" w:ascii="Times New Roman" w:hAnsi="Times New Roman" w:eastAsia="方正仿宋简体" w:cs="Times New Roman"/>
          <w:sz w:val="32"/>
          <w:szCs w:val="32"/>
          <w:highlight w:val="none"/>
        </w:rPr>
        <w:t>万元，主要包括</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公用经费</w:t>
      </w:r>
      <w:r>
        <w:rPr>
          <w:rFonts w:hint="eastAsia" w:eastAsia="方正仿宋简体" w:cs="Times New Roman"/>
          <w:sz w:val="32"/>
          <w:szCs w:val="32"/>
          <w:highlight w:val="none"/>
          <w:lang w:val="en-US" w:eastAsia="zh-CN"/>
        </w:rPr>
        <w:t>452.53</w:t>
      </w:r>
      <w:r>
        <w:rPr>
          <w:rFonts w:hint="default" w:ascii="Times New Roman" w:hAnsi="Times New Roman" w:eastAsia="方正仿宋简体" w:cs="Times New Roman"/>
          <w:sz w:val="32"/>
          <w:szCs w:val="32"/>
          <w:highlight w:val="none"/>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七、一般公共预算</w:t>
      </w:r>
      <w:r>
        <w:rPr>
          <w:rFonts w:hint="eastAsia" w:ascii="方正黑体简体" w:hAnsi="方正黑体简体" w:eastAsia="方正黑体简体" w:cs="方正黑体简体"/>
          <w:sz w:val="32"/>
          <w:szCs w:val="32"/>
          <w:highlight w:val="none"/>
          <w:lang w:eastAsia="zh-CN"/>
        </w:rPr>
        <w:t>“</w:t>
      </w:r>
      <w:r>
        <w:rPr>
          <w:rFonts w:hint="default" w:ascii="方正黑体简体" w:hAnsi="方正黑体简体" w:eastAsia="方正黑体简体" w:cs="方正黑体简体"/>
          <w:sz w:val="32"/>
          <w:szCs w:val="32"/>
          <w:highlight w:val="none"/>
        </w:rPr>
        <w:t>三公”经费预算总体情况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lang w:val="en-US"/>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经费预算数</w:t>
      </w:r>
      <w:r>
        <w:rPr>
          <w:rFonts w:hint="eastAsia" w:eastAsia="方正仿宋简体" w:cs="Times New Roman"/>
          <w:sz w:val="32"/>
          <w:szCs w:val="32"/>
          <w:highlight w:val="none"/>
          <w:lang w:val="en-US" w:eastAsia="zh-CN"/>
        </w:rPr>
        <w:t>149.66</w:t>
      </w:r>
      <w:r>
        <w:rPr>
          <w:rFonts w:hint="default" w:ascii="Times New Roman" w:hAnsi="Times New Roman" w:eastAsia="方正仿宋简体" w:cs="Times New Roman"/>
          <w:sz w:val="32"/>
          <w:szCs w:val="32"/>
          <w:highlight w:val="none"/>
        </w:rPr>
        <w:t>万元，其中：公车运行费</w:t>
      </w:r>
      <w:r>
        <w:rPr>
          <w:rFonts w:hint="eastAsia" w:eastAsia="方正仿宋简体" w:cs="Times New Roman"/>
          <w:sz w:val="32"/>
          <w:szCs w:val="32"/>
          <w:highlight w:val="none"/>
          <w:lang w:val="en-US" w:eastAsia="zh-CN"/>
        </w:rPr>
        <w:t>149.36</w:t>
      </w:r>
      <w:r>
        <w:rPr>
          <w:rFonts w:hint="default" w:ascii="Times New Roman" w:hAnsi="Times New Roman" w:eastAsia="方正仿宋简体" w:cs="Times New Roman"/>
          <w:sz w:val="32"/>
          <w:szCs w:val="32"/>
          <w:highlight w:val="none"/>
        </w:rPr>
        <w:t>万元，公务接待费</w:t>
      </w:r>
      <w:r>
        <w:rPr>
          <w:rFonts w:hint="eastAsia" w:eastAsia="方正仿宋简体" w:cs="Times New Roman"/>
          <w:sz w:val="32"/>
          <w:szCs w:val="32"/>
          <w:highlight w:val="none"/>
          <w:lang w:val="en-US" w:eastAsia="zh-CN"/>
        </w:rPr>
        <w:t>0.3</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77.09</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，减少率</w:t>
      </w:r>
      <w:r>
        <w:rPr>
          <w:rFonts w:hint="eastAsia" w:eastAsia="方正仿宋简体" w:cs="Times New Roman"/>
          <w:sz w:val="32"/>
          <w:szCs w:val="32"/>
          <w:highlight w:val="none"/>
          <w:lang w:val="en-US" w:eastAsia="zh-CN"/>
        </w:rPr>
        <w:t>34</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主要原因是</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2025年根据那曲市财政局要求，那曲市纪委监委和市委巡察办独立核算，且我委每年坚持压减“三公”经费收支预算。</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default" w:ascii="Times New Roman" w:hAnsi="Times New Roman" w:eastAsia="方正仿宋简体" w:cs="Times New Roman"/>
          <w:sz w:val="32"/>
          <w:szCs w:val="32"/>
          <w:highlight w:val="none"/>
          <w:lang w:val="en-US" w:eastAsia="zh-CN"/>
        </w:rPr>
        <w:t>1</w:t>
      </w:r>
      <w:r>
        <w:rPr>
          <w:rFonts w:hint="eastAsia"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月底，本部门</w:t>
      </w:r>
      <w:r>
        <w:rPr>
          <w:rFonts w:hint="eastAsia" w:eastAsia="方正仿宋简体" w:cs="Times New Roman"/>
          <w:sz w:val="32"/>
          <w:szCs w:val="32"/>
          <w:highlight w:val="none"/>
          <w:lang w:eastAsia="zh-CN"/>
        </w:rPr>
        <w:t>资产系统中</w:t>
      </w:r>
      <w:r>
        <w:rPr>
          <w:rFonts w:hint="default" w:ascii="Times New Roman" w:hAnsi="Times New Roman" w:eastAsia="方正仿宋简体" w:cs="Times New Roman"/>
          <w:sz w:val="32"/>
          <w:szCs w:val="32"/>
          <w:highlight w:val="none"/>
        </w:rPr>
        <w:t>共有</w:t>
      </w:r>
      <w:r>
        <w:rPr>
          <w:rFonts w:hint="eastAsia" w:eastAsia="方正仿宋简体" w:cs="Times New Roman"/>
          <w:sz w:val="32"/>
          <w:szCs w:val="32"/>
          <w:highlight w:val="none"/>
          <w:lang w:val="en-US" w:eastAsia="zh-CN"/>
        </w:rPr>
        <w:t>16</w:t>
      </w:r>
      <w:r>
        <w:rPr>
          <w:rFonts w:hint="default" w:ascii="Times New Roman" w:hAnsi="Times New Roman" w:eastAsia="方正仿宋简体" w:cs="Times New Roman"/>
          <w:sz w:val="32"/>
          <w:szCs w:val="32"/>
          <w:highlight w:val="none"/>
        </w:rPr>
        <w:t>辆，</w:t>
      </w:r>
      <w:r>
        <w:rPr>
          <w:rFonts w:hint="eastAsia" w:eastAsia="方正仿宋简体" w:cs="Times New Roman"/>
          <w:sz w:val="32"/>
          <w:szCs w:val="32"/>
          <w:highlight w:val="none"/>
          <w:lang w:eastAsia="zh-CN"/>
        </w:rPr>
        <w:t>主要用途为</w:t>
      </w:r>
      <w:r>
        <w:rPr>
          <w:rFonts w:hint="default" w:ascii="Times New Roman" w:hAnsi="Times New Roman" w:eastAsia="方正仿宋简体" w:cs="Times New Roman"/>
          <w:sz w:val="32"/>
          <w:szCs w:val="32"/>
          <w:highlight w:val="none"/>
        </w:rPr>
        <w:t>其他用车。202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那曲市纪委监委和市委巡察办独立核算，因此</w:t>
      </w:r>
      <w:r>
        <w:rPr>
          <w:rFonts w:hint="eastAsia" w:eastAsia="方正仿宋简体" w:cs="Times New Roman"/>
          <w:sz w:val="32"/>
          <w:szCs w:val="32"/>
          <w:highlight w:val="none"/>
          <w:lang w:val="en-US" w:eastAsia="zh-CN"/>
        </w:rPr>
        <w:t>2025年车辆</w:t>
      </w:r>
      <w:r>
        <w:rPr>
          <w:rFonts w:hint="default" w:ascii="Times New Roman" w:hAnsi="Times New Roman" w:eastAsia="方正仿宋简体" w:cs="Times New Roman"/>
          <w:sz w:val="32"/>
          <w:szCs w:val="32"/>
          <w:highlight w:val="none"/>
        </w:rPr>
        <w:t>保有量</w:t>
      </w:r>
      <w:r>
        <w:rPr>
          <w:rFonts w:hint="eastAsia" w:eastAsia="方正仿宋简体" w:cs="Times New Roman"/>
          <w:sz w:val="32"/>
          <w:szCs w:val="32"/>
          <w:highlight w:val="none"/>
          <w:lang w:eastAsia="zh-CN"/>
        </w:rPr>
        <w:t>为</w:t>
      </w:r>
      <w:r>
        <w:rPr>
          <w:rFonts w:hint="eastAsia" w:eastAsia="方正仿宋简体" w:cs="Times New Roman"/>
          <w:sz w:val="32"/>
          <w:szCs w:val="32"/>
          <w:highlight w:val="none"/>
          <w:lang w:val="en-US" w:eastAsia="zh-CN"/>
        </w:rPr>
        <w:t>13辆</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eastAsia="方正仿宋简体" w:cs="Times New Roman"/>
          <w:sz w:val="32"/>
          <w:szCs w:val="32"/>
          <w:highlight w:val="none"/>
          <w:lang w:val="en-US" w:eastAsia="zh-CN"/>
        </w:rPr>
        <w:t>2025年无</w:t>
      </w:r>
      <w:r>
        <w:rPr>
          <w:rFonts w:hint="default" w:ascii="Times New Roman" w:hAnsi="Times New Roman" w:eastAsia="方正仿宋简体" w:cs="Times New Roman"/>
          <w:sz w:val="32"/>
          <w:szCs w:val="32"/>
          <w:highlight w:val="none"/>
        </w:rPr>
        <w:t>政府性基金预算拨款</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年执行数</w:t>
      </w:r>
      <w:r>
        <w:rPr>
          <w:rFonts w:hint="eastAsia" w:eastAsia="方正仿宋简体" w:cs="Times New Roman"/>
          <w:sz w:val="32"/>
          <w:szCs w:val="32"/>
          <w:highlight w:val="none"/>
          <w:lang w:eastAsia="zh-CN"/>
        </w:rPr>
        <w:t>无变化</w:t>
      </w:r>
      <w:r>
        <w:rPr>
          <w:rFonts w:hint="default" w:ascii="Times New Roman" w:hAnsi="Times New Roman" w:eastAsia="方正仿宋简体" w:cs="Times New Roman"/>
          <w:sz w:val="32"/>
          <w:szCs w:val="32"/>
          <w:highlight w:val="none"/>
        </w:rPr>
        <w:t>，主要原因</w:t>
      </w:r>
      <w:r>
        <w:rPr>
          <w:rFonts w:hint="eastAsia" w:eastAsia="方正仿宋简体" w:cs="Times New Roman"/>
          <w:sz w:val="32"/>
          <w:szCs w:val="32"/>
          <w:highlight w:val="none"/>
          <w:lang w:eastAsia="zh-CN"/>
        </w:rPr>
        <w:t>是：</w:t>
      </w:r>
      <w:r>
        <w:rPr>
          <w:rFonts w:hint="default" w:ascii="Times New Roman" w:hAnsi="Times New Roman" w:eastAsia="方正仿宋简体" w:cs="Times New Roman"/>
          <w:sz w:val="32"/>
          <w:szCs w:val="32"/>
          <w:highlight w:val="none"/>
        </w:rPr>
        <w:t>2024</w:t>
      </w:r>
      <w:r>
        <w:rPr>
          <w:rFonts w:hint="eastAsia" w:eastAsia="方正仿宋简体" w:cs="Times New Roman"/>
          <w:sz w:val="32"/>
          <w:szCs w:val="32"/>
          <w:highlight w:val="none"/>
          <w:lang w:val="en-US" w:eastAsia="zh-CN"/>
        </w:rPr>
        <w:t>-205</w:t>
      </w:r>
      <w:r>
        <w:rPr>
          <w:rFonts w:hint="default" w:ascii="Times New Roman" w:hAnsi="Times New Roman" w:eastAsia="方正仿宋简体" w:cs="Times New Roman"/>
          <w:sz w:val="32"/>
          <w:szCs w:val="32"/>
          <w:highlight w:val="none"/>
        </w:rPr>
        <w:t>年度没有政府性基金安排的支出</w:t>
      </w:r>
      <w:r>
        <w:rPr>
          <w:rFonts w:hint="default" w:ascii="Times New Roman" w:hAnsi="Times New Roman" w:eastAsia="方正仿宋简体" w:cs="Times New Roman"/>
          <w:kern w:val="0"/>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九、政府性基金“三公”经费总体情况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年度</w:t>
      </w:r>
      <w:r>
        <w:rPr>
          <w:rFonts w:hint="eastAsia"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政府性基金安排的支出</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十、其他重要事项的情况说明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年部门机关</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家行政单位的机关运行经费财政拨款预算</w:t>
      </w:r>
      <w:r>
        <w:rPr>
          <w:rFonts w:hint="eastAsia" w:eastAsia="方正仿宋简体" w:cs="Times New Roman"/>
          <w:sz w:val="32"/>
          <w:szCs w:val="32"/>
          <w:highlight w:val="none"/>
          <w:lang w:val="en-US" w:eastAsia="zh-CN"/>
        </w:rPr>
        <w:t>452.53</w:t>
      </w:r>
      <w:r>
        <w:rPr>
          <w:rFonts w:hint="default" w:ascii="Times New Roman" w:hAnsi="Times New Roman" w:eastAsia="方正仿宋简体" w:cs="Times New Roman"/>
          <w:sz w:val="32"/>
          <w:szCs w:val="32"/>
          <w:highlight w:val="none"/>
        </w:rPr>
        <w:t>万元，比202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年预算</w:t>
      </w:r>
      <w:r>
        <w:rPr>
          <w:rFonts w:hint="eastAsia" w:eastAsia="方正仿宋简体" w:cs="Times New Roman"/>
          <w:sz w:val="32"/>
          <w:szCs w:val="32"/>
          <w:highlight w:val="none"/>
          <w:lang w:eastAsia="zh-CN"/>
        </w:rPr>
        <w:t>减少</w:t>
      </w:r>
      <w:r>
        <w:rPr>
          <w:rFonts w:hint="eastAsia" w:eastAsia="方正仿宋简体" w:cs="Times New Roman"/>
          <w:sz w:val="32"/>
          <w:szCs w:val="32"/>
          <w:highlight w:val="none"/>
          <w:lang w:val="en-US" w:eastAsia="zh-CN"/>
        </w:rPr>
        <w:t>63.4</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减少率</w:t>
      </w:r>
      <w:r>
        <w:rPr>
          <w:rFonts w:hint="eastAsia" w:eastAsia="方正仿宋简体" w:cs="Times New Roman"/>
          <w:sz w:val="32"/>
          <w:szCs w:val="32"/>
          <w:highlight w:val="none"/>
          <w:lang w:val="en-US" w:eastAsia="zh-CN"/>
        </w:rPr>
        <w:t>12.29</w:t>
      </w:r>
      <w:r>
        <w:rPr>
          <w:rFonts w:hint="default"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年预算单位</w:t>
      </w:r>
      <w:r>
        <w:rPr>
          <w:rFonts w:hint="eastAsia"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政府采购预算。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方正楷体简体" w:hAnsi="方正楷体简体" w:eastAsia="方正楷体简体" w:cs="方正楷体简体"/>
          <w:sz w:val="32"/>
          <w:szCs w:val="32"/>
          <w:highlight w:val="none"/>
        </w:rPr>
      </w:pPr>
      <w:r>
        <w:rPr>
          <w:rFonts w:hint="default" w:ascii="方正楷体简体" w:hAnsi="方正楷体简体" w:eastAsia="方正楷体简体" w:cs="方正楷体简体"/>
          <w:sz w:val="32"/>
          <w:szCs w:val="32"/>
          <w:highlight w:val="none"/>
        </w:rPr>
        <w:t>（三）</w:t>
      </w:r>
      <w:r>
        <w:rPr>
          <w:rFonts w:hint="default" w:ascii="Times New Roman" w:hAnsi="Times New Roman" w:eastAsia="方正楷体简体" w:cs="Times New Roman"/>
          <w:sz w:val="32"/>
          <w:szCs w:val="32"/>
          <w:highlight w:val="none"/>
        </w:rPr>
        <w:t>202</w:t>
      </w:r>
      <w:r>
        <w:rPr>
          <w:rFonts w:hint="default" w:ascii="Times New Roman" w:hAnsi="Times New Roman" w:eastAsia="方正楷体简体" w:cs="Times New Roman"/>
          <w:sz w:val="32"/>
          <w:szCs w:val="32"/>
          <w:highlight w:val="none"/>
          <w:lang w:val="en-US" w:eastAsia="zh-CN"/>
        </w:rPr>
        <w:t>5</w:t>
      </w:r>
      <w:r>
        <w:rPr>
          <w:rFonts w:hint="default" w:ascii="方正楷体简体" w:hAnsi="方正楷体简体" w:eastAsia="方正楷体简体" w:cs="方正楷体简体"/>
          <w:sz w:val="32"/>
          <w:szCs w:val="32"/>
          <w:highlight w:val="none"/>
        </w:rPr>
        <w:t>年预算绩效情况说明。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年实现财政支出绩效目标管理全覆盖，</w:t>
      </w:r>
      <w:r>
        <w:rPr>
          <w:rFonts w:hint="eastAsia" w:eastAsia="方正仿宋简体" w:cs="Times New Roman"/>
          <w:sz w:val="32"/>
          <w:szCs w:val="32"/>
          <w:highlight w:val="none"/>
          <w:lang w:eastAsia="zh-CN"/>
        </w:rPr>
        <w:t>并且对</w:t>
      </w:r>
      <w:r>
        <w:rPr>
          <w:rFonts w:hint="eastAsia" w:eastAsia="方正仿宋简体" w:cs="Times New Roman"/>
          <w:sz w:val="32"/>
          <w:szCs w:val="32"/>
          <w:highlight w:val="none"/>
          <w:lang w:val="en-US" w:eastAsia="zh-CN"/>
        </w:rPr>
        <w:t>2025年10个项目实行</w:t>
      </w:r>
      <w:r>
        <w:rPr>
          <w:rFonts w:hint="default" w:ascii="Times New Roman" w:hAnsi="Times New Roman" w:eastAsia="方正仿宋简体" w:cs="Times New Roman"/>
          <w:sz w:val="32"/>
          <w:szCs w:val="32"/>
          <w:highlight w:val="none"/>
        </w:rPr>
        <w:t>绩效目标管理，</w:t>
      </w:r>
      <w:r>
        <w:rPr>
          <w:rFonts w:hint="eastAsia" w:eastAsia="方正仿宋简体" w:cs="Times New Roman"/>
          <w:sz w:val="32"/>
          <w:szCs w:val="32"/>
          <w:highlight w:val="none"/>
          <w:lang w:eastAsia="zh-CN"/>
        </w:rPr>
        <w:t>涉及</w:t>
      </w:r>
      <w:r>
        <w:rPr>
          <w:rFonts w:hint="default" w:ascii="Times New Roman" w:hAnsi="Times New Roman" w:eastAsia="方正仿宋简体" w:cs="Times New Roman"/>
          <w:sz w:val="32"/>
          <w:szCs w:val="32"/>
          <w:highlight w:val="none"/>
        </w:rPr>
        <w:t>资金</w:t>
      </w:r>
      <w:r>
        <w:rPr>
          <w:rFonts w:hint="eastAsia" w:eastAsia="方正仿宋简体" w:cs="Times New Roman"/>
          <w:sz w:val="32"/>
          <w:szCs w:val="32"/>
          <w:highlight w:val="none"/>
          <w:lang w:val="en-US" w:eastAsia="zh-CN"/>
        </w:rPr>
        <w:t>1298.49</w:t>
      </w:r>
      <w:r>
        <w:rPr>
          <w:rFonts w:hint="default" w:ascii="Times New Roman" w:hAnsi="Times New Roman" w:eastAsia="方正仿宋简体" w:cs="Times New Roman"/>
          <w:sz w:val="32"/>
          <w:szCs w:val="32"/>
          <w:highlight w:val="none"/>
        </w:rPr>
        <w:t>万元。</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第四部分</w:t>
      </w:r>
    </w:p>
    <w:p>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名词解释</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一、财政拨款收入：本级财政部门当年拨付的财政预算资金，包括一般公共预算财政拨款、政府性基金预算财政拨款和国资预算财政拨款。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五、其他收入：指除上述“一般公共预算拨款收入”、“事业收入”、“事业单位经营收入”等以外的收入。主要是按规定动用的售房收入、存款利息收入等。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六、上年结转：指以前年度安排、结转到本年仍按原规定用途继续使用的资金。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七、重点项目：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九、项目支出：指在基本支出之外为完成特定行政任务或事业发展目标所发生的支出。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十、“三公”经费：是指安排的因公出国（境）费、公务用车购置及运行维护费和公务接待费。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p>
    <w:bookmarkEnd w:id="0"/>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4F1C"/>
    <w:multiLevelType w:val="singleLevel"/>
    <w:tmpl w:val="312C4F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0AA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01A8"/>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3469C5"/>
    <w:rsid w:val="021E65BA"/>
    <w:rsid w:val="02BB296F"/>
    <w:rsid w:val="02F861FE"/>
    <w:rsid w:val="039D5211"/>
    <w:rsid w:val="041A0DBC"/>
    <w:rsid w:val="0541652C"/>
    <w:rsid w:val="05B10DE0"/>
    <w:rsid w:val="067277E2"/>
    <w:rsid w:val="07C8704E"/>
    <w:rsid w:val="08574187"/>
    <w:rsid w:val="08593123"/>
    <w:rsid w:val="086C2F76"/>
    <w:rsid w:val="09FE031C"/>
    <w:rsid w:val="0A811469"/>
    <w:rsid w:val="0AE23768"/>
    <w:rsid w:val="0BDD1F2A"/>
    <w:rsid w:val="0C0127FA"/>
    <w:rsid w:val="0CEA404A"/>
    <w:rsid w:val="0D1348D0"/>
    <w:rsid w:val="0D3A692B"/>
    <w:rsid w:val="0D9452B7"/>
    <w:rsid w:val="0DC27DFB"/>
    <w:rsid w:val="0DFD715E"/>
    <w:rsid w:val="0E1E1DF9"/>
    <w:rsid w:val="10025758"/>
    <w:rsid w:val="12221EB5"/>
    <w:rsid w:val="128C42CB"/>
    <w:rsid w:val="135A0909"/>
    <w:rsid w:val="13AC4302"/>
    <w:rsid w:val="1418453A"/>
    <w:rsid w:val="14BE5A49"/>
    <w:rsid w:val="15255E0C"/>
    <w:rsid w:val="15A64F71"/>
    <w:rsid w:val="16CD25AE"/>
    <w:rsid w:val="172F6F11"/>
    <w:rsid w:val="176B4D69"/>
    <w:rsid w:val="17DE1F75"/>
    <w:rsid w:val="186B2363"/>
    <w:rsid w:val="190F5440"/>
    <w:rsid w:val="198C6B3F"/>
    <w:rsid w:val="19E94C4E"/>
    <w:rsid w:val="1A3B7188"/>
    <w:rsid w:val="1A3E0F58"/>
    <w:rsid w:val="1AB64FA1"/>
    <w:rsid w:val="1AFF11E2"/>
    <w:rsid w:val="1F1B1FC9"/>
    <w:rsid w:val="200F6EC3"/>
    <w:rsid w:val="20B96F9A"/>
    <w:rsid w:val="25385A7B"/>
    <w:rsid w:val="257D594D"/>
    <w:rsid w:val="258B6651"/>
    <w:rsid w:val="27312720"/>
    <w:rsid w:val="27C8197F"/>
    <w:rsid w:val="28622EC8"/>
    <w:rsid w:val="286C0BCD"/>
    <w:rsid w:val="289A4809"/>
    <w:rsid w:val="28BD234F"/>
    <w:rsid w:val="29A6348D"/>
    <w:rsid w:val="29D70259"/>
    <w:rsid w:val="2AB51966"/>
    <w:rsid w:val="2BF54831"/>
    <w:rsid w:val="2C341A04"/>
    <w:rsid w:val="2E001E3B"/>
    <w:rsid w:val="2E392D24"/>
    <w:rsid w:val="2E5B0B77"/>
    <w:rsid w:val="2E83148F"/>
    <w:rsid w:val="2F0E1B64"/>
    <w:rsid w:val="2F405401"/>
    <w:rsid w:val="3180035E"/>
    <w:rsid w:val="318926D3"/>
    <w:rsid w:val="31AC3A94"/>
    <w:rsid w:val="324B266C"/>
    <w:rsid w:val="325E7776"/>
    <w:rsid w:val="32DA144A"/>
    <w:rsid w:val="32DA173A"/>
    <w:rsid w:val="331C2B6D"/>
    <w:rsid w:val="33470108"/>
    <w:rsid w:val="33E72C5C"/>
    <w:rsid w:val="340F4C10"/>
    <w:rsid w:val="342A025D"/>
    <w:rsid w:val="34450C8F"/>
    <w:rsid w:val="345B67BB"/>
    <w:rsid w:val="34E002C0"/>
    <w:rsid w:val="34F14F40"/>
    <w:rsid w:val="35131FB7"/>
    <w:rsid w:val="35A47356"/>
    <w:rsid w:val="35C34EC4"/>
    <w:rsid w:val="35F4015D"/>
    <w:rsid w:val="38D96E38"/>
    <w:rsid w:val="38DD1C4D"/>
    <w:rsid w:val="392101B7"/>
    <w:rsid w:val="39380E10"/>
    <w:rsid w:val="396B03FE"/>
    <w:rsid w:val="39E25C58"/>
    <w:rsid w:val="3B595D5A"/>
    <w:rsid w:val="3BD74C6F"/>
    <w:rsid w:val="3C9130F8"/>
    <w:rsid w:val="3D0304FA"/>
    <w:rsid w:val="3D521DA4"/>
    <w:rsid w:val="3DC6247C"/>
    <w:rsid w:val="3E830E71"/>
    <w:rsid w:val="3EAB27DD"/>
    <w:rsid w:val="3ED54E5D"/>
    <w:rsid w:val="3EED518E"/>
    <w:rsid w:val="3EFE511C"/>
    <w:rsid w:val="3F60037C"/>
    <w:rsid w:val="3FDF7ABC"/>
    <w:rsid w:val="40230913"/>
    <w:rsid w:val="40982533"/>
    <w:rsid w:val="40AB4049"/>
    <w:rsid w:val="40CD2698"/>
    <w:rsid w:val="40CD663E"/>
    <w:rsid w:val="411F3AB6"/>
    <w:rsid w:val="41223090"/>
    <w:rsid w:val="41483088"/>
    <w:rsid w:val="417A609B"/>
    <w:rsid w:val="41DE7933"/>
    <w:rsid w:val="42F74F4A"/>
    <w:rsid w:val="43A83162"/>
    <w:rsid w:val="44147B32"/>
    <w:rsid w:val="44524ADB"/>
    <w:rsid w:val="44DC6463"/>
    <w:rsid w:val="44FC0376"/>
    <w:rsid w:val="456732AE"/>
    <w:rsid w:val="461A7878"/>
    <w:rsid w:val="482C44F0"/>
    <w:rsid w:val="48D6696F"/>
    <w:rsid w:val="4934567D"/>
    <w:rsid w:val="497910BA"/>
    <w:rsid w:val="498F0950"/>
    <w:rsid w:val="49C55396"/>
    <w:rsid w:val="4A5635A2"/>
    <w:rsid w:val="4AC701E3"/>
    <w:rsid w:val="4CA52558"/>
    <w:rsid w:val="4D5077F8"/>
    <w:rsid w:val="4E261A0B"/>
    <w:rsid w:val="4EB552F9"/>
    <w:rsid w:val="4EF45D23"/>
    <w:rsid w:val="4F276EA6"/>
    <w:rsid w:val="4FE071D3"/>
    <w:rsid w:val="50DB2948"/>
    <w:rsid w:val="51BF2D4A"/>
    <w:rsid w:val="52FF482A"/>
    <w:rsid w:val="53D60CBA"/>
    <w:rsid w:val="54DB7F50"/>
    <w:rsid w:val="55111319"/>
    <w:rsid w:val="551558C4"/>
    <w:rsid w:val="557D393F"/>
    <w:rsid w:val="559162BE"/>
    <w:rsid w:val="577348A5"/>
    <w:rsid w:val="57A15D2D"/>
    <w:rsid w:val="57C51814"/>
    <w:rsid w:val="59750B61"/>
    <w:rsid w:val="597A6DE0"/>
    <w:rsid w:val="59D03793"/>
    <w:rsid w:val="5AEA12E1"/>
    <w:rsid w:val="5B130F3C"/>
    <w:rsid w:val="5BB77799"/>
    <w:rsid w:val="5BD04B55"/>
    <w:rsid w:val="5CAB2FF8"/>
    <w:rsid w:val="5D7363AE"/>
    <w:rsid w:val="5DB06EC8"/>
    <w:rsid w:val="5DB3219F"/>
    <w:rsid w:val="5DC34B1B"/>
    <w:rsid w:val="5EB0591A"/>
    <w:rsid w:val="5F24171A"/>
    <w:rsid w:val="5F532E8D"/>
    <w:rsid w:val="60B37EF7"/>
    <w:rsid w:val="60C33FD6"/>
    <w:rsid w:val="60D25A13"/>
    <w:rsid w:val="6131405D"/>
    <w:rsid w:val="619F70B1"/>
    <w:rsid w:val="61EF3130"/>
    <w:rsid w:val="62335FE7"/>
    <w:rsid w:val="6298239E"/>
    <w:rsid w:val="62D941E0"/>
    <w:rsid w:val="63945DA2"/>
    <w:rsid w:val="63A803A3"/>
    <w:rsid w:val="63B059BE"/>
    <w:rsid w:val="652A0B5F"/>
    <w:rsid w:val="65C31CF6"/>
    <w:rsid w:val="66356B66"/>
    <w:rsid w:val="67EC3C10"/>
    <w:rsid w:val="682C1770"/>
    <w:rsid w:val="68E94B4B"/>
    <w:rsid w:val="696B7FCE"/>
    <w:rsid w:val="6A673AF8"/>
    <w:rsid w:val="6ACA170E"/>
    <w:rsid w:val="6B2C3CAB"/>
    <w:rsid w:val="6BD17653"/>
    <w:rsid w:val="6BFA1E4E"/>
    <w:rsid w:val="6C29459C"/>
    <w:rsid w:val="6CE62608"/>
    <w:rsid w:val="6CF810A4"/>
    <w:rsid w:val="6D3F477B"/>
    <w:rsid w:val="6DBF0027"/>
    <w:rsid w:val="6E3A1C7A"/>
    <w:rsid w:val="6E3B4E34"/>
    <w:rsid w:val="6FE838FB"/>
    <w:rsid w:val="702937CF"/>
    <w:rsid w:val="7031209E"/>
    <w:rsid w:val="70DA234D"/>
    <w:rsid w:val="72564819"/>
    <w:rsid w:val="727675F4"/>
    <w:rsid w:val="72997248"/>
    <w:rsid w:val="72C14BDE"/>
    <w:rsid w:val="72EF6111"/>
    <w:rsid w:val="72F26539"/>
    <w:rsid w:val="7335792D"/>
    <w:rsid w:val="7388058D"/>
    <w:rsid w:val="73F67EA6"/>
    <w:rsid w:val="74191E5D"/>
    <w:rsid w:val="7430591C"/>
    <w:rsid w:val="74473F92"/>
    <w:rsid w:val="746E6BEC"/>
    <w:rsid w:val="74C345DA"/>
    <w:rsid w:val="755C4E05"/>
    <w:rsid w:val="75B73B82"/>
    <w:rsid w:val="7668334E"/>
    <w:rsid w:val="76B35E2E"/>
    <w:rsid w:val="76C84AB7"/>
    <w:rsid w:val="76F77A59"/>
    <w:rsid w:val="782E166F"/>
    <w:rsid w:val="783D406A"/>
    <w:rsid w:val="787B6681"/>
    <w:rsid w:val="78AD7774"/>
    <w:rsid w:val="79857AF6"/>
    <w:rsid w:val="79AC6AF8"/>
    <w:rsid w:val="79C52C62"/>
    <w:rsid w:val="79D70E1F"/>
    <w:rsid w:val="79E95862"/>
    <w:rsid w:val="7A464EFC"/>
    <w:rsid w:val="7A4A1CBA"/>
    <w:rsid w:val="7A502F74"/>
    <w:rsid w:val="7A9255A4"/>
    <w:rsid w:val="7AE80E52"/>
    <w:rsid w:val="7B0973FD"/>
    <w:rsid w:val="7C7534F7"/>
    <w:rsid w:val="7CA2119E"/>
    <w:rsid w:val="7D7017BC"/>
    <w:rsid w:val="7E2B5693"/>
    <w:rsid w:val="7E4B0D41"/>
    <w:rsid w:val="7EC710FC"/>
    <w:rsid w:val="7F005F4C"/>
    <w:rsid w:val="7F6E2323"/>
    <w:rsid w:val="7F93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TotalTime>
  <ScaleCrop>false</ScaleCrop>
  <LinksUpToDate>false</LinksUpToDate>
  <CharactersWithSpaces>4729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cw</cp:lastModifiedBy>
  <cp:lastPrinted>2021-01-27T11:28:00Z</cp:lastPrinted>
  <dcterms:modified xsi:type="dcterms:W3CDTF">2025-01-22T09:23:15Z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