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24" w:line="206" w:lineRule="auto"/>
        <w:ind w:left="380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5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173</w:t>
      </w:r>
      <w:r>
        <w:rPr>
          <w:rFonts w:ascii="微软雅黑" w:hAnsi="微软雅黑" w:eastAsia="微软雅黑" w:cs="微软雅黑"/>
          <w:spacing w:val="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号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25" w:line="285" w:lineRule="auto"/>
        <w:ind w:firstLine="46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《西藏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区储备粮管理办法》已经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rFonts w:ascii="微软雅黑" w:hAnsi="微软雅黑" w:eastAsia="微软雅黑" w:cs="微软雅黑"/>
          <w:spacing w:val="-2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16</w:t>
      </w:r>
      <w:r>
        <w:rPr>
          <w:rFonts w:ascii="微软雅黑" w:hAnsi="微软雅黑" w:eastAsia="微软雅黑" w:cs="微软雅黑"/>
          <w:spacing w:val="-2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届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区人民政府第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87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次常务会议通过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现予公布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spacing w:val="-10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起施行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24" w:line="205" w:lineRule="auto"/>
        <w:ind w:left="257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区主席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24" w:line="205" w:lineRule="auto"/>
        <w:ind w:left="514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pacing w:val="6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22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23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</w:p>
    <w:p>
      <w:pPr>
        <w:spacing w:before="320" w:line="200" w:lineRule="auto"/>
        <w:ind w:left="64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(此件发至县级人民政府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</w:p>
    <w:p>
      <w:pPr>
        <w:sectPr>
          <w:footerReference r:id="rId5" w:type="default"/>
          <w:pgSz w:w="10884" w:h="15193"/>
          <w:pgMar w:top="1291" w:right="1029" w:bottom="908" w:left="1047" w:header="0" w:footer="528" w:gutter="0"/>
          <w:cols w:space="720" w:num="1"/>
        </w:sectPr>
      </w:pPr>
    </w:p>
    <w:p>
      <w:pPr>
        <w:spacing w:before="94" w:line="213" w:lineRule="auto"/>
        <w:ind w:left="1908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33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西</w:t>
      </w:r>
      <w:r>
        <w:rPr>
          <w:rFonts w:ascii="微软雅黑" w:hAnsi="微软雅黑" w:eastAsia="微软雅黑" w:cs="微软雅黑"/>
          <w:spacing w:val="25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藏自治区储备粮管理办法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5" w:line="209" w:lineRule="auto"/>
        <w:ind w:left="33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一章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则</w:t>
      </w:r>
    </w:p>
    <w:p>
      <w:pPr>
        <w:spacing w:before="260" w:line="294" w:lineRule="auto"/>
        <w:ind w:right="8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第一条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了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加强对西藏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区本级储备粮(以下简称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区储备粮)的管理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有效发挥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区储备粮的宏观调控作用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维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护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粮食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场稳定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,保障粮食安全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,根据《粮食流通管理条例》等法律法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,结合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区实际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,制定本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办法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3" w:line="293" w:lineRule="auto"/>
        <w:ind w:right="8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</w:t>
      </w: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本办法所称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区储备粮(含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区动态应急储备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,是指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区人民政府储备的用于调节全区粮食市场供求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,稳定粮食市场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以及应对重大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然灾害或者其他突发事件等情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况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的粮食和食用油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93" w:lineRule="auto"/>
        <w:ind w:right="8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从事和参与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区储备粮经营管理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、监督活动的单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个人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应当遵守本办法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93" w:lineRule="auto"/>
        <w:ind w:left="15" w:right="8" w:firstLine="61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第四条</w:t>
      </w:r>
      <w:r>
        <w:rPr>
          <w:rFonts w:ascii="黑体" w:hAnsi="黑体" w:eastAsia="黑体" w:cs="黑体"/>
          <w:spacing w:val="-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粮所有权属于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未经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区人民政府批准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,任何单位和个人不得动用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93" w:lineRule="auto"/>
        <w:ind w:right="8" w:firstLine="69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区动态应急储备粮是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区储备粮的重要补充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在应急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状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态下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区人民政府可以优先动用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具体工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关规定执行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3" w:line="297" w:lineRule="auto"/>
        <w:ind w:left="2" w:firstLine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五条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区储备粮的管理应当坚持中国共产党的领导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严格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、严格管理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、严格责任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,确保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区储备粮数量真实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良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和储存安全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,确保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治区储备粮储得进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、管得好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、调得快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、用得</w:t>
      </w:r>
    </w:p>
    <w:p>
      <w:pPr>
        <w:sectPr>
          <w:footerReference r:id="rId6" w:type="default"/>
          <w:pgSz w:w="10884" w:h="15193"/>
          <w:pgMar w:top="1106" w:right="1021" w:bottom="908" w:left="1045" w:header="0" w:footer="528" w:gutter="0"/>
          <w:cols w:space="720" w:num="1"/>
        </w:sectPr>
      </w:pPr>
    </w:p>
    <w:p>
      <w:pPr>
        <w:spacing w:before="65" w:line="205" w:lineRule="auto"/>
        <w:ind w:left="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,并节约成本和费用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7" w:line="286" w:lineRule="auto"/>
        <w:ind w:left="28" w:firstLine="60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第六条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区人民政府应当加强对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区储备粮管理工作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的领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导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,研究解决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治区储备粮管理中的重大问题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firstLine="69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区人民政府发展改革部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、粮食行政管理部门会同财政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部门负责拟订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治区储备粮规模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、品种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、总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体布局和动用的宏观调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意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见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,报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区人民政府批准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,并对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区储备粮管理进行指导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协调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left="1" w:firstLine="69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区储备粮的数量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、质量和储存安全实施监督管理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必要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可以委托地(市)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行署(人民政府)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粮食行政管理部门协助管理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firstLine="69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区人民政府财政部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负责安排并及时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、足额拨付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储备粮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贷款利息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、保管费用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、轮换费用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、价差亏损等财政补贴并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立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动态调整机制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区储备粮有关财务执行情况实施监督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85" w:lineRule="auto"/>
        <w:ind w:left="10" w:firstLine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县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级以上人民政府应当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仓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护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第七条</w:t>
      </w:r>
      <w:r>
        <w:rPr>
          <w:rFonts w:ascii="黑体" w:hAnsi="黑体" w:eastAsia="黑体" w:cs="黑体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国农业发展银行西藏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区分行(以下简称农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行西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分行)负责按照国家有关规定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,及时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、足额发放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、收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回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粮贷款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,并按照资金封闭管理的规定对发放的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贷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款实施信贷监管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0" w:lineRule="auto"/>
        <w:ind w:left="69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治区储备粮承储单位(以下简称承储单位)对农发行西藏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</w:p>
    <w:p>
      <w:pPr>
        <w:sectPr>
          <w:footerReference r:id="rId7" w:type="default"/>
          <w:pgSz w:w="10884" w:h="15193"/>
          <w:pgMar w:top="1147" w:right="1029" w:bottom="900" w:left="1044" w:header="0" w:footer="532" w:gutter="0"/>
          <w:cols w:space="720" w:num="1"/>
        </w:sectPr>
      </w:pPr>
    </w:p>
    <w:p>
      <w:pPr>
        <w:spacing w:before="66" w:line="286" w:lineRule="auto"/>
        <w:ind w:left="6" w:right="116" w:hanging="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行依法进行的信贷监管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应当予以配合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并及时提供有关资料和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况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5" w:lineRule="auto"/>
        <w:ind w:left="5" w:right="116" w:firstLine="62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第八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承储单位应当对储存的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区储备粮的数量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储存安全负责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5" w:lineRule="auto"/>
        <w:ind w:left="1"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第九条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任何单位和个人不得以任何方式骗取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、挤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占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留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挪用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区储备粮贷款或者贷款利息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、保管费用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、轮换费用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、价差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亏损等相关财政补贴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85" w:lineRule="auto"/>
        <w:ind w:left="11" w:right="108" w:firstLine="61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第十条</w:t>
      </w:r>
      <w:r>
        <w:rPr>
          <w:rFonts w:ascii="黑体" w:hAnsi="黑体" w:eastAsia="黑体" w:cs="黑体"/>
          <w:spacing w:val="1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任何单位和个人不得破坏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区储备粮仓储设施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得偷盗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、哄抢或者损毁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3" w:line="285" w:lineRule="auto"/>
        <w:ind w:left="1" w:right="116" w:firstLine="69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区储备粮储存地的人民政府应当对破坏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区储备粮仓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偷盗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、哄抢或者损毁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区储备粮的违法行为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及时组织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有关部门予以制止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、查处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5" w:lineRule="auto"/>
        <w:ind w:left="42" w:right="116" w:firstLine="58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4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十一条</w:t>
      </w:r>
      <w:r>
        <w:rPr>
          <w:rFonts w:ascii="黑体" w:hAnsi="黑体" w:eastAsia="黑体" w:cs="黑体"/>
          <w:spacing w:val="2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任何单位和个人对违反本办法的行为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均有权向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治区人民政府粮食行政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管理部门等有关部门举报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、投诉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人民政府粮食行政管理部门等有关部门接到举报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、投诉后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</w:p>
    <w:p>
      <w:pPr>
        <w:spacing w:before="3" w:line="289" w:lineRule="auto"/>
        <w:ind w:left="1" w:right="116" w:hanging="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及时查处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举报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、投诉事项属于其他部门职责范围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当及时移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送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其他部门处理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9" w:lineRule="auto"/>
        <w:ind w:left="237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二章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自治区储备粮的计划</w:t>
      </w:r>
    </w:p>
    <w:p>
      <w:pPr>
        <w:spacing w:before="244" w:line="291" w:lineRule="auto"/>
        <w:ind w:left="3" w:right="108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黑体" w:hAnsi="黑体" w:eastAsia="黑体" w:cs="黑体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二条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治区储备粮的储存规模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、品种和总体布局方案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区人民政府发展改革部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、粮食行政管理部门会同财政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,结合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治区宏观调控需要和财政承受能力提出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政府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批准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ectPr>
          <w:footerReference r:id="rId8" w:type="default"/>
          <w:pgSz w:w="10884" w:h="15193"/>
          <w:pgMar w:top="1147" w:right="913" w:bottom="904" w:left="1043" w:header="0" w:footer="528" w:gutter="0"/>
          <w:cols w:space="720" w:num="1"/>
        </w:sectPr>
      </w:pPr>
    </w:p>
    <w:p>
      <w:pPr>
        <w:spacing w:before="65" w:line="286" w:lineRule="auto"/>
        <w:ind w:left="4" w:right="108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三条</w:t>
      </w:r>
      <w:r>
        <w:rPr>
          <w:rFonts w:ascii="黑体" w:hAnsi="黑体" w:eastAsia="黑体" w:cs="黑体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治区人民政府粮食行政管理部门应当根据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民政府批准的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治区储备粮储存规模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、品种和总体布局方案,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会同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、财政部门和农发行西藏分行制定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区储备粮的收购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、销售计划,及时下达给承储单位,并由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人民政府粮食行政管理部门组织实施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3" w:line="285" w:lineRule="auto"/>
        <w:ind w:left="5" w:right="116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第十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治区储备粮轮换计划由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区人民政府粮食行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政管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部门会同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、财政部门和农发行西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分行提出,并及时下达给承储单位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8" w:lineRule="auto"/>
        <w:ind w:left="4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第十五条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储单位应当将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治区储备粮收购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、销售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划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的具体执行情况,按照规定报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食行政管理部门备案,并抄送农发行西藏分行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09" w:lineRule="auto"/>
        <w:ind w:left="19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第三章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自治区储备粮的储存和轮</w:t>
      </w:r>
      <w:r>
        <w:rPr>
          <w:rFonts w:ascii="黑体" w:hAnsi="黑体" w:eastAsia="黑体" w:cs="黑体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换</w:t>
      </w:r>
    </w:p>
    <w:p>
      <w:pPr>
        <w:spacing w:before="245" w:line="286" w:lineRule="auto"/>
        <w:ind w:left="23" w:right="108" w:firstLine="60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4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十六条</w:t>
      </w:r>
      <w:r>
        <w:rPr>
          <w:rFonts w:ascii="黑体" w:hAnsi="黑体" w:eastAsia="黑体" w:cs="黑体"/>
          <w:spacing w:val="2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区储备粮应当遵循有利于合理布局,有利于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边固边,有利于监督管理,有利于降低成本和节约费用的原则,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治区直属粮食储备库储存,也可以委托其他承储单位承储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5" w:lineRule="auto"/>
        <w:ind w:left="63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十七条</w:t>
      </w:r>
      <w:r>
        <w:rPr>
          <w:rFonts w:ascii="黑体" w:hAnsi="黑体" w:eastAsia="黑体" w:cs="黑体"/>
          <w:spacing w:val="1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承储单位应当具备下列条件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166" w:line="286" w:lineRule="auto"/>
        <w:ind w:left="10" w:right="116" w:firstLine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)仓库容量达到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区规定的规模,仓库条件符合国家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准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和技术规范以及安全生产法律法规的要求;</w:t>
      </w:r>
    </w:p>
    <w:p>
      <w:pPr>
        <w:spacing w:before="2" w:line="285" w:lineRule="auto"/>
        <w:ind w:right="116" w:firstLine="65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5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具有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食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、仓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、进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方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式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食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品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种</w:t>
      </w:r>
      <w:r>
        <w:rPr>
          <w:rFonts w:ascii="微软雅黑" w:hAnsi="微软雅黑" w:eastAsia="微软雅黑" w:cs="微软雅黑"/>
          <w:spacing w:val="-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模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、储粮周期等相适应的仓储设备和监控网络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3" w:line="295" w:lineRule="auto"/>
        <w:ind w:left="10" w:right="116" w:firstLine="63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三)具有符合国家标准和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区有关要求的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量等级检测仪器和场所,具备检测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区储备粮储存期间仓库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</w:t>
      </w:r>
    </w:p>
    <w:p>
      <w:pPr>
        <w:sectPr>
          <w:footerReference r:id="rId9" w:type="default"/>
          <w:pgSz w:w="10884" w:h="15193"/>
          <w:pgMar w:top="1147" w:right="913" w:bottom="904" w:left="1041" w:header="0" w:footer="532" w:gutter="0"/>
          <w:cols w:space="720" w:num="1"/>
        </w:sectPr>
      </w:pPr>
    </w:p>
    <w:p>
      <w:pPr>
        <w:spacing w:before="65" w:line="205" w:lineRule="auto"/>
        <w:ind w:left="1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温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、水分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、害虫密度的能力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67" w:line="286" w:lineRule="auto"/>
        <w:ind w:left="3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四)具有经过专业培训的粮油保管员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、粮油质量检验员等管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技术人员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五)经营管理和信誉良好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,并无严重违法经营记录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7"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六)法律法规规章规定的其他条件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76" w:line="286" w:lineRule="auto"/>
        <w:ind w:left="6" w:firstLine="62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黑体" w:hAnsi="黑体" w:eastAsia="黑体" w:cs="黑体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八条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承储单位储存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当执行国家标准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和技术规范以及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区有关规定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85" w:lineRule="auto"/>
        <w:ind w:left="21" w:firstLine="61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储单位应当制定防火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、防盗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、防洪等安全管理制度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并配备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必要的安全防护设施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5" w:lineRule="auto"/>
        <w:ind w:left="7" w:firstLine="62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第十九条</w:t>
      </w:r>
      <w:r>
        <w:rPr>
          <w:rFonts w:ascii="黑体" w:hAnsi="黑体" w:eastAsia="黑体" w:cs="黑体"/>
          <w:spacing w:val="-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单位应当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证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库的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符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收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购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、轮换计划规定的质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量要求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5" w:lineRule="auto"/>
        <w:ind w:left="3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第二十条</w:t>
      </w:r>
      <w:r>
        <w:rPr>
          <w:rFonts w:ascii="黑体" w:hAnsi="黑体" w:eastAsia="黑体" w:cs="黑体"/>
          <w:spacing w:val="1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承储单位应当对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治区储备粮实行专仓(专垛)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、专人保管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、专账记载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,保证账账相符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、账实相符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、质量良好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firstLine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十一条</w:t>
      </w:r>
      <w:r>
        <w:rPr>
          <w:rFonts w:ascii="黑体" w:hAnsi="黑体" w:eastAsia="黑体" w:cs="黑体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承储单位应当对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区储备粮的储存管理情况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行经常性检查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发现储备粮数量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、质量和储存安全等问题的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当及时处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不能处理的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应当及时向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区人民政府粮食行政管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部门报告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5" w:lineRule="auto"/>
        <w:ind w:left="9" w:firstLine="62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第二十二条</w:t>
      </w:r>
      <w:r>
        <w:rPr>
          <w:rFonts w:ascii="黑体" w:hAnsi="黑体" w:eastAsia="黑体" w:cs="黑体"/>
          <w:spacing w:val="-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执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国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家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财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会计制度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,保证资料信息真实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、准确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04" w:lineRule="auto"/>
        <w:ind w:left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十三条</w:t>
      </w:r>
      <w:r>
        <w:rPr>
          <w:rFonts w:ascii="黑体" w:hAnsi="黑体" w:eastAsia="黑体" w:cs="黑体"/>
          <w:spacing w:val="1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承储单位承储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治区储备粮不得有下列行为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171"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)虚报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、瞒报数量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ectPr>
          <w:footerReference r:id="rId10" w:type="default"/>
          <w:pgSz w:w="10884" w:h="15193"/>
          <w:pgMar w:top="1147" w:right="1029" w:bottom="904" w:left="1042" w:header="0" w:footer="532" w:gutter="0"/>
          <w:cols w:space="720" w:num="1"/>
        </w:sectPr>
      </w:pPr>
    </w:p>
    <w:p>
      <w:pPr>
        <w:spacing w:before="66"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(二)掺杂掺假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、以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陈顶新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、以次充好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9"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串换品种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、变更储存地点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7"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四)将轮换业务与其他业务混合经营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7"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五)造成超期储存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、出现转圈粮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7"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六)造成霉变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、色泽气味异常等质量问题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6" w:line="286" w:lineRule="auto"/>
        <w:ind w:right="70" w:firstLine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)拒不执行或者擅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改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收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购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、销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售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换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划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命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令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line="200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(八)擅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7" w:line="286" w:lineRule="auto"/>
        <w:ind w:left="3" w:right="70" w:firstLine="64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九)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区储备粮及相关设施设备办理抵质押贷款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、提供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担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保或者清偿债务等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left="1" w:right="70"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第二十</w:t>
      </w: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区储备粮的入库成本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粮食行政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理部门会同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区人民政府财政部门核定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粮的入库成本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经核定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,任何单位和个人不得擅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更改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,承储单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应当遵照执行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5" w:lineRule="auto"/>
        <w:ind w:right="70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第二十五条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治区储备粮贷款实行贷款与粮食库存值增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挂钩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,专款专用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04" w:lineRule="auto"/>
        <w:ind w:left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承储单位应当在农发行西藏分行开设账户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,并接受信贷监管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8" w:line="286" w:lineRule="auto"/>
        <w:ind w:left="2" w:right="70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第二十</w:t>
      </w: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区储备粮的损失损耗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区有关规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定执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92" w:lineRule="auto"/>
        <w:ind w:right="70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十七条</w:t>
      </w:r>
      <w:r>
        <w:rPr>
          <w:rFonts w:ascii="黑体" w:hAnsi="黑体" w:eastAsia="黑体" w:cs="黑体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区储备粮实行均衡轮换制度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采取定期轮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换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和动态轮换相结合的方式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定期轮换的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区储备粮轮换架空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期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原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则上不得超过四个月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超过轮换架空期的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不享受相应财政</w:t>
      </w:r>
    </w:p>
    <w:p>
      <w:pPr>
        <w:sectPr>
          <w:footerReference r:id="rId11" w:type="default"/>
          <w:pgSz w:w="10884" w:h="15193"/>
          <w:pgMar w:top="1147" w:right="959" w:bottom="904" w:left="1043" w:header="0" w:footer="528" w:gutter="0"/>
          <w:cols w:space="720" w:num="1"/>
        </w:sectPr>
      </w:pPr>
    </w:p>
    <w:p>
      <w:pPr>
        <w:spacing w:before="66" w:line="286" w:lineRule="auto"/>
        <w:ind w:left="6" w:hanging="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保管费用补贴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动态轮换的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治区储备粮按照常储常新的原则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储单位进行轮换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04" w:lineRule="auto"/>
        <w:ind w:left="69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治区储备粮的轮换,按照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区有关规定执行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7" w:line="286" w:lineRule="auto"/>
        <w:ind w:left="43" w:firstLine="58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二十八条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承储单位依法被撤销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、解散或者破产的,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人民政府粮食行政管理部门负责调出另储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7" w:lineRule="auto"/>
        <w:ind w:left="2"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十九条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承储单位应当定期统计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、分析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储存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轮换管理情况,并将统计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、分析情况报送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食行政管理部门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,并由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区人民政府粮食行政管理部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转送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、财政部门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以及农发行西藏分行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9" w:lineRule="auto"/>
        <w:ind w:left="23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四章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自治区储备粮的动用</w:t>
      </w:r>
    </w:p>
    <w:p>
      <w:pPr>
        <w:spacing w:before="248" w:line="204" w:lineRule="auto"/>
        <w:ind w:left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出现下列情况之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的,可以动用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168" w:line="286" w:lineRule="auto"/>
        <w:ind w:left="15" w:firstLine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)全区或者部分地区粮食明显供不应求或者市场价格异常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波</w:t>
      </w: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动;</w:t>
      </w:r>
    </w:p>
    <w:p>
      <w:pPr>
        <w:spacing w:before="2" w:line="285" w:lineRule="auto"/>
        <w:ind w:left="2" w:firstLine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二)发生重大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然灾害或者其他突发事件需要动用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备粮</w:t>
      </w:r>
      <w:r>
        <w:rPr>
          <w:rFonts w:ascii="微软雅黑" w:hAnsi="微软雅黑" w:eastAsia="微软雅黑" w:cs="微软雅黑"/>
          <w:spacing w:val="3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4" w:line="285" w:lineRule="auto"/>
        <w:ind w:left="6" w:firstLine="64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区人民政府认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需要动用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形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left="4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第三十</w:t>
      </w: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动用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区储备粮,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革部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、粮食行政管理部门会同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区人民政府财政部门提出动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方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案,报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区人民政府批准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动用方案及时抄送农发行西藏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04" w:lineRule="auto"/>
        <w:ind w:left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动用方案应当包括动用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区储备粮的原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、品种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、数量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质</w:t>
      </w:r>
    </w:p>
    <w:p>
      <w:pPr>
        <w:sectPr>
          <w:footerReference r:id="rId12" w:type="default"/>
          <w:pgSz w:w="10884" w:h="15193"/>
          <w:pgMar w:top="1147" w:right="1029" w:bottom="907" w:left="1042" w:header="0" w:footer="532" w:gutter="0"/>
          <w:cols w:space="720" w:num="1"/>
        </w:sectPr>
      </w:pPr>
    </w:p>
    <w:p>
      <w:pPr>
        <w:spacing w:before="66" w:line="207" w:lineRule="auto"/>
        <w:ind w:left="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、价格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、使用安排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、运输保障等内容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1" w:line="286" w:lineRule="auto"/>
        <w:ind w:firstLine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十二条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、粮食行政管理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部门根据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区人民政府批准的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治区储备粮动用方案下达动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命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令,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治区人民政府粮食行政管理部门组织实施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85" w:lineRule="auto"/>
        <w:ind w:firstLine="65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紧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急情况下,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区人民政府直接下达动用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命令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89" w:lineRule="auto"/>
        <w:ind w:left="19" w:firstLine="61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十三条</w:t>
      </w:r>
      <w:r>
        <w:rPr>
          <w:rFonts w:ascii="黑体" w:hAnsi="黑体" w:eastAsia="黑体" w:cs="黑体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任何单位和个人不得拒绝执行或者擅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改变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区储备粮动用命令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8" w:lineRule="auto"/>
        <w:ind w:left="31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第五章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监督检</w:t>
      </w:r>
      <w:r>
        <w:rPr>
          <w:rFonts w:ascii="黑体" w:hAnsi="黑体" w:eastAsia="黑体" w:cs="黑体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</w:t>
      </w:r>
    </w:p>
    <w:p>
      <w:pPr>
        <w:spacing w:before="248" w:line="286" w:lineRule="auto"/>
        <w:ind w:left="3"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第三十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区人民政府粮食行政管理部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照各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职责,依法进行监督检查,可以行使下列职权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4" w:line="285" w:lineRule="auto"/>
        <w:ind w:left="3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)进入承储单位检查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区储备粮的数量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、质量和储存安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2" w:line="285" w:lineRule="auto"/>
        <w:ind w:left="12" w:firstLine="63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二)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向有关单位和人员了解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治区储备粮收购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、销售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划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及动用命令的执行情况;</w:t>
      </w:r>
    </w:p>
    <w:p>
      <w:pPr>
        <w:spacing w:before="1"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)调阅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治区储备粮管理的有关资料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、凭证;</w:t>
      </w:r>
    </w:p>
    <w:p>
      <w:pPr>
        <w:spacing w:before="177" w:line="200" w:lineRule="auto"/>
        <w:ind w:left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(四)对违反本办法的行为,依法予以处理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76" w:line="286" w:lineRule="auto"/>
        <w:ind w:left="4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第三十</w:t>
      </w:r>
      <w:r>
        <w:rPr>
          <w:rFonts w:ascii="黑体" w:hAnsi="黑体" w:eastAsia="黑体" w:cs="黑体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</w:t>
      </w: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区人民政府粮食行政管理部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的监督检查人员应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当将监督检查情况作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书面记录,并由监督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人员和被检查单位的负责人签字;被检查单位的负责人拒绝签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字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的,监督检查人员应当将有关情况记录在案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04" w:lineRule="auto"/>
        <w:ind w:left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三十六条</w:t>
      </w:r>
      <w:r>
        <w:rPr>
          <w:rFonts w:ascii="黑体" w:hAnsi="黑体" w:eastAsia="黑体" w:cs="黑体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治区人民政府粮食行政管理部门应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当加大监</w:t>
      </w:r>
    </w:p>
    <w:p>
      <w:pPr>
        <w:sectPr>
          <w:footerReference r:id="rId13" w:type="default"/>
          <w:pgSz w:w="10884" w:h="15193"/>
          <w:pgMar w:top="1147" w:right="1029" w:bottom="901" w:left="1042" w:header="0" w:footer="532" w:gutter="0"/>
          <w:cols w:space="720" w:num="1"/>
        </w:sectPr>
      </w:pPr>
    </w:p>
    <w:p>
      <w:pPr>
        <w:spacing w:before="64" w:line="286" w:lineRule="auto"/>
        <w:ind w:right="116" w:firstLine="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督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检查力度,地(市)行署(人民政府)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、县(区)人民政府粮食行政管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部门应当对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区储备粮实施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常监督检查;发现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数量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、储存安全等问题,或者承储单位存在不适于储存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区储备粮情况的,应当及时予以纠正或者处理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5" w:lineRule="auto"/>
        <w:ind w:left="4" w:right="108" w:firstLine="62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3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三十七条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审计部门应当依据审计法规定的职权和程序,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有关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治区储备粮的财务收支情况实施审计监督;发现问题,应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及时予以处理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88" w:lineRule="auto"/>
        <w:ind w:firstLine="62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第三十八条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任何单位和个人对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区人民政府财政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、审计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粮食行政管理部门监督检查人员依法履行职责的行为,应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予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8" w:lineRule="auto"/>
        <w:ind w:left="316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第六章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法律责</w:t>
      </w:r>
      <w:r>
        <w:rPr>
          <w:rFonts w:ascii="黑体" w:hAnsi="黑体" w:eastAsia="黑体" w:cs="黑体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</w:p>
    <w:p>
      <w:pPr>
        <w:spacing w:before="245" w:line="286" w:lineRule="auto"/>
        <w:ind w:left="1" w:right="116" w:firstLine="62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第三十九条</w:t>
      </w:r>
      <w:r>
        <w:rPr>
          <w:rFonts w:ascii="黑体" w:hAnsi="黑体" w:eastAsia="黑体" w:cs="黑体"/>
          <w:spacing w:val="-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区人民政府发展改革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、审计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、粮食行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管理部门和农发行西藏分行等单位,地(市)行署(人民政府)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区)人民政府粮食行政管理部门违反本办法规定,有下列行为之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的,有权机关应当责令改正,对负有责任的领导人员和直接责任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员依法追究责任;构成犯罪的,依法追究刑事责任</w:t>
      </w:r>
      <w:r>
        <w:rPr>
          <w:rFonts w:ascii="微软雅黑" w:hAnsi="微软雅黑" w:eastAsia="微软雅黑" w:cs="微软雅黑"/>
          <w:spacing w:val="2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)未及时下达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治区储备粮收购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、销售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、轮换计划的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>
      <w:pPr>
        <w:spacing w:before="176" w:line="286" w:lineRule="auto"/>
        <w:ind w:left="7" w:firstLine="63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(二)未及时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、足额拨付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区储备粮的贷款利息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、保管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轮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换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费用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、价差亏损等相关财政补贴的;</w:t>
      </w:r>
    </w:p>
    <w:p>
      <w:pPr>
        <w:spacing w:before="1"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(三)未及时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、足额发放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、收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回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治区储备粮贷款的;</w:t>
      </w:r>
    </w:p>
    <w:p>
      <w:pPr>
        <w:spacing w:before="177"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四)选择不具备承储条件的单位承储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治区储备粮的;</w:t>
      </w:r>
    </w:p>
    <w:p>
      <w:pPr>
        <w:spacing w:before="179"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发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区储备粮数量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、储存安全等问题,或者承</w:t>
      </w:r>
    </w:p>
    <w:p>
      <w:pPr>
        <w:sectPr>
          <w:footerReference r:id="rId14" w:type="default"/>
          <w:pgSz w:w="10884" w:h="15193"/>
          <w:pgMar w:top="1147" w:right="913" w:bottom="908" w:left="1045" w:header="0" w:footer="532" w:gutter="0"/>
          <w:cols w:space="720" w:num="1"/>
        </w:sectPr>
      </w:pPr>
    </w:p>
    <w:p>
      <w:pPr>
        <w:spacing w:before="66" w:line="286" w:lineRule="auto"/>
        <w:ind w:left="2" w:right="8" w:hanging="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单位存在不适于储存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区储备粮情况,未及时予以纠正或者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理的;</w:t>
      </w:r>
    </w:p>
    <w:p>
      <w:pPr>
        <w:spacing w:before="2" w:line="285" w:lineRule="auto"/>
        <w:ind w:left="1" w:right="8" w:firstLine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六)接到举报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、投诉,发现违法行为未及时查处或者移送其他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门处理的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1" w:line="285" w:lineRule="auto"/>
        <w:ind w:left="1" w:right="8" w:firstLine="62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第四十条</w:t>
      </w:r>
      <w:r>
        <w:rPr>
          <w:rFonts w:ascii="黑体" w:hAnsi="黑体" w:eastAsia="黑体" w:cs="黑体"/>
          <w:spacing w:val="-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违反本办法规定,骗取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、挤占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、截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留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、挪用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备粮贷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款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或者贷款利息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、保管费用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、轮换费用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、价差亏损等相关财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补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贴,或者擅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更改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治区储备粮入库成本的,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府财政部门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、农发行西藏分行按照各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职责责令改正或者给予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贷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制裁;有违法所得的,没收违法所得;对直接负责的主管人员和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他直接责任人员依法给予处分;构成犯罪的,依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追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究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刑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6" w:line="285" w:lineRule="auto"/>
        <w:ind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四十一条</w:t>
      </w:r>
      <w:r>
        <w:rPr>
          <w:rFonts w:ascii="黑体" w:hAnsi="黑体" w:eastAsia="黑体" w:cs="黑体"/>
          <w:spacing w:val="1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违反本办法规定,破坏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区储备粮仓储设施,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偷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盗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、哄抢或者损毁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治区储备粮,尚不构成犯罪的,依照《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中华人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民共和国治安管理处罚法》的规定予以处罚;造成财产损失的,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承担民事赔偿责任;构成犯罪的,依法追究刑事责任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87" w:lineRule="auto"/>
        <w:ind w:left="5" w:firstLine="62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第四十二条</w:t>
      </w:r>
      <w:r>
        <w:rPr>
          <w:rFonts w:ascii="黑体" w:hAnsi="黑体" w:eastAsia="黑体" w:cs="黑体"/>
          <w:spacing w:val="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承储单位违反本办法第十八条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、第十九条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-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十三条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、第三十八条规定的,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治区人民政府粮食行政管理部门责令改正,情节严重的,取消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承储计划;有违法所得的,没收违法所得;对直接负责的主管人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员和其他直接责任人员依法给予处分;构成犯罪的,依法追究刑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9" w:lineRule="auto"/>
        <w:ind w:left="332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七章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则</w:t>
      </w:r>
    </w:p>
    <w:p>
      <w:pPr>
        <w:sectPr>
          <w:footerReference r:id="rId15" w:type="default"/>
          <w:pgSz w:w="10884" w:h="15193"/>
          <w:pgMar w:top="1147" w:right="1021" w:bottom="908" w:left="1043" w:header="0" w:footer="528" w:gutter="0"/>
          <w:cols w:space="720" w:num="1"/>
        </w:sectPr>
      </w:pPr>
    </w:p>
    <w:p>
      <w:pPr>
        <w:spacing w:before="66"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4295140</wp:posOffset>
            </wp:positionH>
            <wp:positionV relativeFrom="page">
              <wp:posOffset>8908415</wp:posOffset>
            </wp:positionV>
            <wp:extent cx="1788160" cy="39560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8134" cy="3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四十三条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地(市)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、县(区)储备粮的管理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可以参照本办法</w:t>
      </w:r>
    </w:p>
    <w:p>
      <w:pPr>
        <w:spacing w:before="178" w:line="206" w:lineRule="auto"/>
        <w:ind w:left="1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执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6" w:line="200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第四十四条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本办法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起施行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99" w:lineRule="exact"/>
      </w:pPr>
    </w:p>
    <w:tbl>
      <w:tblPr>
        <w:tblStyle w:val="4"/>
        <w:tblW w:w="882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2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53" w:line="161" w:lineRule="auto"/>
              <w:ind w:left="29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区党委各部门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西藏军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武警西藏总队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line="205" w:lineRule="auto"/>
              <w:ind w:left="102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-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区人大常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委会办公厅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区政协办公厅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区监委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区高法院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区检察院。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1" w:line="203" w:lineRule="auto"/>
              <w:ind w:left="304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西藏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治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区人民政府办公厅秘书处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27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印发</w:t>
            </w: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124" w:line="164" w:lineRule="auto"/>
        <w:ind w:left="1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"/>
          <w:position w:val="4"/>
          <w:sz w:val="29"/>
          <w:szCs w:val="29"/>
        </w:rPr>
        <w:t xml:space="preserve">—   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12  </w:t>
      </w:r>
      <w:r>
        <w:rPr>
          <w:rFonts w:ascii="微软雅黑" w:hAnsi="微软雅黑" w:eastAsia="微软雅黑" w:cs="微软雅黑"/>
          <w:spacing w:val="1"/>
          <w:position w:val="4"/>
          <w:sz w:val="29"/>
          <w:szCs w:val="29"/>
        </w:rPr>
        <w:t>—</w:t>
      </w:r>
    </w:p>
    <w:sectPr>
      <w:footerReference r:id="rId16" w:type="default"/>
      <w:pgSz w:w="10884" w:h="15193"/>
      <w:pgMar w:top="1147" w:right="1027" w:bottom="400" w:left="10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148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1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2" w:lineRule="auto"/>
      <w:ind w:left="131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2"/>
        <w:position w:val="4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2"/>
        <w:sz w:val="29"/>
        <w:szCs w:val="29"/>
      </w:rPr>
      <w:t xml:space="preserve">10  </w:t>
    </w:r>
    <w:r>
      <w:rPr>
        <w:rFonts w:ascii="微软雅黑" w:hAnsi="微软雅黑" w:eastAsia="微软雅黑" w:cs="微软雅黑"/>
        <w:spacing w:val="1"/>
        <w:position w:val="4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157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2"/>
        <w:position w:val="4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2"/>
        <w:sz w:val="29"/>
        <w:szCs w:val="29"/>
      </w:rPr>
      <w:t xml:space="preserve">11  </w:t>
    </w:r>
    <w:r>
      <w:rPr>
        <w:rFonts w:ascii="微软雅黑" w:hAnsi="微软雅黑" w:eastAsia="微软雅黑" w:cs="微软雅黑"/>
        <w:spacing w:val="1"/>
        <w:position w:val="4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left="131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2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966"/>
      <w:rPr>
        <w:rFonts w:ascii="微软雅黑" w:hAnsi="微软雅黑" w:eastAsia="微软雅黑" w:cs="微软雅黑"/>
        <w:sz w:val="29"/>
        <w:szCs w:val="29"/>
      </w:rPr>
    </w:pPr>
    <w:r>
      <w:pict>
        <v:shape id="_x0000_s2049" o:spid="_x0000_s2049" o:spt="202" type="#_x0000_t202" style="position:absolute;left:0pt;margin-left:369.2pt;margin-top:3.75pt;height:10.1pt;width:16.7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16.35pt;margin-top:3.75pt;height:10.1pt;width:16.7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0"/>
        <w:sz w:val="29"/>
        <w:szCs w:val="2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91"/>
      <w:rPr>
        <w:rFonts w:ascii="微软雅黑" w:hAnsi="微软雅黑" w:eastAsia="微软雅黑" w:cs="微软雅黑"/>
        <w:sz w:val="29"/>
        <w:szCs w:val="29"/>
      </w:rPr>
    </w:pPr>
    <w:r>
      <w:pict>
        <v:shape id="_x0000_s2051" o:spid="_x0000_s2051" o:spt="202" type="#_x0000_t202" style="position:absolute;left:0pt;margin-left:5.65pt;margin-top:3.9pt;height:10.1pt;width:16.7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2.8pt;margin-top:3.9pt;height:10.1pt;width:16.7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8"/>
        <w:sz w:val="29"/>
        <w:szCs w:val="29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right="265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5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134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6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69"/>
      <w:rPr>
        <w:rFonts w:ascii="微软雅黑" w:hAnsi="微软雅黑" w:eastAsia="微软雅黑" w:cs="微软雅黑"/>
        <w:sz w:val="29"/>
        <w:szCs w:val="29"/>
      </w:rPr>
    </w:pPr>
    <w:r>
      <w:pict>
        <v:shape id="_x0000_s2053" o:spid="_x0000_s2053" o:spt="202" type="#_x0000_t202" style="position:absolute;left:0pt;margin-left:369.25pt;margin-top:3.9pt;height:10.1pt;width:16.75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16.4pt;margin-top:3.9pt;height:10.1pt;width:16.7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2"/>
        <w:sz w:val="29"/>
        <w:szCs w:val="29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1" w:lineRule="auto"/>
      <w:ind w:left="134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8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148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9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BA5D47"/>
    <w:rsid w:val="5DFF6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4911</Words>
  <Characters>4933</Characters>
  <TotalTime>0</TotalTime>
  <ScaleCrop>false</ScaleCrop>
  <LinksUpToDate>false</LinksUpToDate>
  <CharactersWithSpaces>6060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2022-11-30T16:03:00Z</dcterms:created>
  <dc:creator>作者</dc:creator>
  <cp:keywords>关键字</cp:keywords>
  <cp:lastModifiedBy>拥之则安</cp:lastModifiedBy>
  <dcterms:modified xsi:type="dcterms:W3CDTF">2022-12-30T10:18:52Z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2022-11-30T17:44:35Z</vt:filetime>
  </property>
  <property fmtid="{D5CDD505-2E9C-101B-9397-08002B2CF9AE}" pid="4" name="KSOProductBuildVer">
    <vt:lpwstr>2052-11.1.0.12980</vt:lpwstr>
  </property>
  <property fmtid="{D5CDD505-2E9C-101B-9397-08002B2CF9AE}" pid="5" name="ICV">
    <vt:lpwstr>816D6D25C47B4E95A116BACDB0B39A52</vt:lpwstr>
  </property>
</Properties>
</file>