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4AA4">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14:paraId="626D52F8">
      <w:pPr>
        <w:spacing w:line="576"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《那曲市易燃易爆场所</w:t>
      </w:r>
      <w:r>
        <w:rPr>
          <w:rFonts w:hint="eastAsia" w:ascii="方正小标宋简体" w:hAnsi="方正小标宋简体" w:eastAsia="方正小标宋简体" w:cs="方正小标宋简体"/>
          <w:sz w:val="44"/>
          <w:szCs w:val="44"/>
          <w:lang w:val="en-US" w:eastAsia="zh-CN"/>
        </w:rPr>
        <w:t>(重点领域)</w:t>
      </w:r>
      <w:r>
        <w:rPr>
          <w:rFonts w:hint="eastAsia" w:ascii="方正小标宋简体" w:hAnsi="方正小标宋简体" w:eastAsia="方正小标宋简体" w:cs="方正小标宋简体"/>
          <w:sz w:val="44"/>
          <w:szCs w:val="44"/>
          <w:lang w:eastAsia="zh-CN"/>
        </w:rPr>
        <w:t>防雷安全管理办法（草案）》</w:t>
      </w:r>
    </w:p>
    <w:p w14:paraId="4EF61F1C">
      <w:pPr>
        <w:spacing w:line="576"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14:paraId="21C69B61">
      <w:pPr>
        <w:spacing w:line="576" w:lineRule="exact"/>
        <w:jc w:val="center"/>
        <w:rPr>
          <w:rFonts w:hint="eastAsia" w:ascii="方正小标宋简体" w:hAnsi="方正小标宋简体" w:eastAsia="方正小标宋简体" w:cs="方正小标宋简体"/>
          <w:sz w:val="44"/>
          <w:szCs w:val="44"/>
          <w:lang w:eastAsia="zh-CN"/>
        </w:rPr>
      </w:pPr>
    </w:p>
    <w:p w14:paraId="0287706E">
      <w:pPr>
        <w:pStyle w:val="6"/>
        <w:widowControl/>
        <w:spacing w:beforeAutospacing="0" w:afterAutospacing="0" w:line="30" w:lineRule="atLeast"/>
        <w:jc w:val="center"/>
        <w:rPr>
          <w:rFonts w:ascii="黑体" w:hAnsi="宋体" w:eastAsia="黑体" w:cs="黑体"/>
          <w:color w:val="000000"/>
          <w:sz w:val="32"/>
          <w:szCs w:val="32"/>
        </w:rPr>
      </w:pPr>
      <w:r>
        <w:rPr>
          <w:rFonts w:hint="eastAsia" w:ascii="黑体" w:hAnsi="宋体" w:eastAsia="黑体" w:cs="黑体"/>
          <w:color w:val="000000"/>
          <w:sz w:val="32"/>
          <w:szCs w:val="32"/>
        </w:rPr>
        <w:t>第一章　总则</w:t>
      </w:r>
    </w:p>
    <w:p w14:paraId="6F0CE5EA">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第一条 </w:t>
      </w:r>
      <w:r>
        <w:rPr>
          <w:rFonts w:hint="eastAsia" w:ascii="仿宋" w:hAnsi="仿宋" w:eastAsia="仿宋" w:cs="仿宋"/>
          <w:sz w:val="32"/>
          <w:szCs w:val="32"/>
        </w:rPr>
        <w:t>为切实加强那曲市易燃易爆场所防范雷击，避免、减轻、降低雷电灾害造成的损失，有效保障人民生命财产安全，根据《中华人民共和国安全生产法》《中华人民共和</w:t>
      </w:r>
      <w:r>
        <w:rPr>
          <w:rFonts w:hint="default" w:ascii="仿宋" w:hAnsi="仿宋" w:eastAsia="仿宋" w:cs="仿宋"/>
          <w:sz w:val="32"/>
          <w:szCs w:val="32"/>
          <w:lang w:eastAsia="zh-CN"/>
        </w:rPr>
        <w:t>国</w:t>
      </w:r>
      <w:r>
        <w:rPr>
          <w:rFonts w:hint="eastAsia" w:ascii="仿宋" w:hAnsi="仿宋" w:eastAsia="仿宋" w:cs="仿宋"/>
          <w:sz w:val="32"/>
          <w:szCs w:val="32"/>
        </w:rPr>
        <w:t>气象法》《气象灾害防御条例》《防雷减灾管理办法》《西藏自治区防雷减灾条例》等法律法规和规章的规定，并结合本市实际，制定本办法。</w:t>
      </w:r>
    </w:p>
    <w:p w14:paraId="4FBC0ECF">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第二条 </w:t>
      </w:r>
      <w:r>
        <w:rPr>
          <w:rFonts w:hint="eastAsia" w:ascii="仿宋" w:hAnsi="仿宋" w:eastAsia="仿宋" w:cs="仿宋"/>
          <w:sz w:val="32"/>
          <w:szCs w:val="32"/>
        </w:rPr>
        <w:t>在那曲市行政区域内从事生产经营活动的易燃易爆场所</w:t>
      </w:r>
      <w:r>
        <w:rPr>
          <w:rFonts w:hint="eastAsia" w:ascii="仿宋" w:hAnsi="仿宋" w:eastAsia="仿宋" w:cs="仿宋"/>
          <w:sz w:val="32"/>
          <w:szCs w:val="32"/>
          <w:lang w:eastAsia="zh-CN"/>
        </w:rPr>
        <w:t>，</w:t>
      </w:r>
      <w:r>
        <w:rPr>
          <w:rFonts w:hint="eastAsia" w:ascii="仿宋" w:hAnsi="仿宋" w:eastAsia="仿宋" w:cs="仿宋"/>
          <w:sz w:val="32"/>
          <w:szCs w:val="32"/>
        </w:rPr>
        <w:t>从事易燃易爆场所防雷工程建设、检测</w:t>
      </w:r>
      <w:r>
        <w:rPr>
          <w:rFonts w:hint="eastAsia" w:ascii="仿宋" w:hAnsi="仿宋" w:eastAsia="仿宋" w:cs="仿宋"/>
          <w:sz w:val="32"/>
          <w:szCs w:val="32"/>
          <w:lang w:eastAsia="zh-CN"/>
        </w:rPr>
        <w:t>及易燃易爆场所防雷装置管理监督</w:t>
      </w:r>
      <w:r>
        <w:rPr>
          <w:rFonts w:hint="eastAsia" w:ascii="仿宋" w:hAnsi="仿宋" w:eastAsia="仿宋" w:cs="仿宋"/>
          <w:sz w:val="32"/>
          <w:szCs w:val="32"/>
        </w:rPr>
        <w:t>的单位和个人，适用本办法。</w:t>
      </w:r>
    </w:p>
    <w:p w14:paraId="1FB1EDC8">
      <w:pPr>
        <w:spacing w:line="560" w:lineRule="exact"/>
        <w:ind w:firstLine="640" w:firstLineChars="200"/>
        <w:rPr>
          <w:rFonts w:hint="eastAsia" w:ascii="仿宋" w:hAnsi="仿宋" w:eastAsia="仿宋" w:cs="仿宋"/>
          <w:sz w:val="32"/>
          <w:szCs w:val="32"/>
        </w:rPr>
      </w:pPr>
      <w:r>
        <w:rPr>
          <w:rFonts w:hint="eastAsia" w:ascii="黑体" w:hAnsi="宋体" w:eastAsia="黑体" w:cs="黑体"/>
          <w:color w:val="000000"/>
          <w:kern w:val="0"/>
          <w:sz w:val="32"/>
          <w:szCs w:val="32"/>
        </w:rPr>
        <w:t xml:space="preserve">第三条 </w:t>
      </w:r>
      <w:r>
        <w:rPr>
          <w:rFonts w:hint="eastAsia" w:ascii="仿宋" w:hAnsi="仿宋" w:eastAsia="仿宋" w:cs="仿宋"/>
          <w:sz w:val="32"/>
          <w:szCs w:val="32"/>
        </w:rPr>
        <w:t>本办法所称的易燃易爆场所是指：油库、气库、弹药库、化学品仓库和烟花爆</w:t>
      </w:r>
      <w:r>
        <w:rPr>
          <w:rFonts w:hint="eastAsia" w:ascii="仿宋" w:hAnsi="仿宋" w:eastAsia="仿宋" w:cs="仿宋"/>
          <w:sz w:val="32"/>
          <w:szCs w:val="32"/>
          <w:lang w:eastAsia="zh-CN"/>
        </w:rPr>
        <w:t>竹</w:t>
      </w:r>
      <w:r>
        <w:rPr>
          <w:rFonts w:hint="eastAsia" w:ascii="仿宋" w:hAnsi="仿宋" w:eastAsia="仿宋" w:cs="仿宋"/>
          <w:sz w:val="32"/>
          <w:szCs w:val="32"/>
        </w:rPr>
        <w:t>、石化等易燃易爆建设工程和场所。</w:t>
      </w:r>
    </w:p>
    <w:p w14:paraId="238A8CCC">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第四条 </w:t>
      </w:r>
      <w:r>
        <w:rPr>
          <w:rFonts w:hint="eastAsia" w:ascii="仿宋" w:hAnsi="仿宋" w:eastAsia="仿宋" w:cs="仿宋"/>
          <w:sz w:val="32"/>
          <w:szCs w:val="32"/>
        </w:rPr>
        <w:t>易燃易爆场所防雷减灾工作实行安全第一、科学防御、政府主导、部门联动、社会参与、综合治理的原则。</w:t>
      </w:r>
    </w:p>
    <w:p w14:paraId="4368F2C5">
      <w:pPr>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lang w:eastAsia="zh-CN"/>
        </w:rPr>
        <w:t>县级以上</w:t>
      </w:r>
      <w:r>
        <w:rPr>
          <w:rFonts w:hint="eastAsia" w:ascii="仿宋" w:hAnsi="仿宋" w:eastAsia="仿宋" w:cs="仿宋"/>
          <w:sz w:val="32"/>
          <w:szCs w:val="32"/>
        </w:rPr>
        <w:t>人民政府应当加强对易燃易爆场所防雷安全工作的组织领导，将易燃易爆场所防雷安全工作纳入安全生产责任制和地方政府考核评价体系。将防雷减灾经费纳入本级财政预算。</w:t>
      </w:r>
    </w:p>
    <w:p w14:paraId="4696F4F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易燃易爆场所“防雷装置设计技术评价”和“新建、改建、扩建建（构）筑物防雷装置检测”工作应由政府购买服务等方式委托有关机构开展，杜绝变相中介服务。</w:t>
      </w:r>
    </w:p>
    <w:p w14:paraId="1473551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应急管理、住房和城乡建设、公安、消防、市场监督管理、交通运输、水利、农业农村、电力、通信等部门按照各自职责，共同做好易燃易爆场所的防雷安全监督管理工作。</w:t>
      </w:r>
    </w:p>
    <w:p w14:paraId="24DDD142">
      <w:pPr>
        <w:numPr>
          <w:ilvl w:val="-1"/>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县级以上</w:t>
      </w:r>
      <w:r>
        <w:rPr>
          <w:rFonts w:hint="eastAsia" w:ascii="仿宋" w:hAnsi="仿宋" w:eastAsia="仿宋" w:cs="仿宋"/>
          <w:sz w:val="32"/>
          <w:szCs w:val="32"/>
        </w:rPr>
        <w:t>人民政府应当组织编制</w:t>
      </w:r>
      <w:r>
        <w:rPr>
          <w:rFonts w:hint="default" w:ascii="仿宋" w:hAnsi="仿宋" w:eastAsia="仿宋" w:cs="仿宋"/>
          <w:color w:val="auto"/>
          <w:sz w:val="32"/>
          <w:szCs w:val="32"/>
        </w:rPr>
        <w:t>易燃易爆场所</w:t>
      </w:r>
      <w:r>
        <w:rPr>
          <w:rFonts w:hint="default" w:ascii="仿宋" w:hAnsi="仿宋" w:eastAsia="仿宋" w:cs="仿宋"/>
          <w:sz w:val="32"/>
          <w:szCs w:val="32"/>
        </w:rPr>
        <w:t>雷电灾害防御规划</w:t>
      </w:r>
      <w:r>
        <w:rPr>
          <w:rFonts w:hint="eastAsia" w:ascii="仿宋" w:hAnsi="仿宋" w:eastAsia="仿宋" w:cs="仿宋"/>
          <w:sz w:val="32"/>
          <w:szCs w:val="32"/>
        </w:rPr>
        <w:t>，并纳入城市总体规划。</w:t>
      </w:r>
    </w:p>
    <w:p w14:paraId="44280435">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lang w:eastAsia="zh-CN"/>
        </w:rPr>
        <w:t>县级以上</w:t>
      </w:r>
      <w:r>
        <w:rPr>
          <w:rFonts w:hint="eastAsia" w:ascii="仿宋" w:hAnsi="仿宋" w:eastAsia="仿宋" w:cs="仿宋"/>
          <w:sz w:val="32"/>
          <w:szCs w:val="32"/>
        </w:rPr>
        <w:t>人民政府、有关部门应当加强易燃易爆场所防雷减灾科普知识宣传，鼓励社会力量参与，提高公众的防雷减灾意识和避险自救能力。</w:t>
      </w:r>
    </w:p>
    <w:p w14:paraId="1475B2DF">
      <w:pPr>
        <w:spacing w:line="560" w:lineRule="exact"/>
        <w:ind w:firstLine="640" w:firstLineChars="200"/>
        <w:rPr>
          <w:rFonts w:hint="eastAsia" w:ascii="仿宋" w:hAnsi="仿宋" w:eastAsia="仿宋" w:cs="仿宋"/>
          <w:sz w:val="32"/>
          <w:szCs w:val="32"/>
        </w:rPr>
      </w:pPr>
      <w:r>
        <w:rPr>
          <w:rFonts w:hint="eastAsia" w:ascii="黑体" w:hAnsi="宋体" w:eastAsia="黑体" w:cs="黑体"/>
          <w:color w:val="000000"/>
          <w:kern w:val="0"/>
          <w:sz w:val="32"/>
          <w:szCs w:val="32"/>
        </w:rPr>
        <w:t xml:space="preserve">第六条 </w:t>
      </w:r>
      <w:r>
        <w:rPr>
          <w:rFonts w:hint="eastAsia" w:ascii="仿宋" w:hAnsi="仿宋" w:eastAsia="仿宋" w:cs="仿宋"/>
          <w:color w:val="auto"/>
          <w:sz w:val="32"/>
          <w:szCs w:val="32"/>
          <w:lang w:eastAsia="zh-CN"/>
        </w:rPr>
        <w:t>县级以上</w:t>
      </w:r>
      <w:r>
        <w:rPr>
          <w:rFonts w:hint="eastAsia" w:ascii="仿宋" w:hAnsi="仿宋" w:eastAsia="仿宋" w:cs="仿宋"/>
          <w:sz w:val="32"/>
          <w:szCs w:val="32"/>
        </w:rPr>
        <w:t>人民政府</w:t>
      </w:r>
      <w:r>
        <w:rPr>
          <w:rFonts w:hint="eastAsia" w:ascii="仿宋" w:hAnsi="仿宋" w:eastAsia="仿宋" w:cs="仿宋"/>
          <w:color w:val="auto"/>
          <w:sz w:val="32"/>
          <w:szCs w:val="32"/>
          <w:lang w:eastAsia="zh-CN"/>
        </w:rPr>
        <w:t>应</w:t>
      </w:r>
      <w:r>
        <w:rPr>
          <w:rFonts w:hint="eastAsia" w:ascii="仿宋" w:hAnsi="仿宋" w:eastAsia="仿宋" w:cs="仿宋"/>
          <w:sz w:val="32"/>
          <w:szCs w:val="32"/>
        </w:rPr>
        <w:t>鼓励科研机构、企业开展防雷技术研究，支持防雷先进技术的推广和应用，加强防雷标准化工作，提高易燃易爆场所防御雷电灾害的能力。</w:t>
      </w:r>
    </w:p>
    <w:p w14:paraId="7BBDF51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县级以上</w:t>
      </w:r>
      <w:r>
        <w:rPr>
          <w:rFonts w:hint="eastAsia" w:ascii="仿宋" w:hAnsi="仿宋" w:eastAsia="仿宋" w:cs="仿宋"/>
          <w:sz w:val="32"/>
          <w:szCs w:val="32"/>
        </w:rPr>
        <w:t>人民政府对在易燃易爆场所防雷减灾工作中做出突出贡献的按照国家有关规定给予表彰和奖励。</w:t>
      </w:r>
    </w:p>
    <w:p w14:paraId="5E61A360">
      <w:pPr>
        <w:pStyle w:val="6"/>
        <w:widowControl/>
        <w:spacing w:beforeAutospacing="0" w:afterAutospacing="0" w:line="560" w:lineRule="exact"/>
        <w:jc w:val="center"/>
        <w:rPr>
          <w:rFonts w:ascii="黑体" w:hAnsi="宋体" w:eastAsia="黑体" w:cs="黑体"/>
          <w:color w:val="000000"/>
          <w:sz w:val="32"/>
          <w:szCs w:val="32"/>
        </w:rPr>
      </w:pPr>
      <w:r>
        <w:rPr>
          <w:rFonts w:hint="eastAsia" w:ascii="黑体" w:hAnsi="宋体" w:eastAsia="黑体" w:cs="黑体"/>
          <w:color w:val="000000"/>
          <w:sz w:val="32"/>
          <w:szCs w:val="32"/>
        </w:rPr>
        <w:t>第二章　防雷安全监管责任</w:t>
      </w:r>
    </w:p>
    <w:p w14:paraId="00A04B9F">
      <w:pPr>
        <w:widowControl/>
        <w:spacing w:line="560" w:lineRule="exact"/>
        <w:ind w:firstLine="640" w:firstLineChars="200"/>
        <w:rPr>
          <w:rFonts w:ascii="仿宋" w:hAnsi="仿宋" w:eastAsia="仿宋" w:cs="仿宋"/>
          <w:sz w:val="32"/>
          <w:szCs w:val="32"/>
          <w:lang w:val="zh-CN"/>
        </w:rPr>
      </w:pPr>
      <w:r>
        <w:rPr>
          <w:rFonts w:hint="eastAsia" w:ascii="黑体" w:hAnsi="宋体" w:eastAsia="黑体" w:cs="黑体"/>
          <w:color w:val="000000"/>
          <w:kern w:val="0"/>
          <w:sz w:val="32"/>
          <w:szCs w:val="32"/>
        </w:rPr>
        <w:t xml:space="preserve">第七条 </w:t>
      </w:r>
      <w:r>
        <w:rPr>
          <w:rFonts w:hint="eastAsia" w:ascii="仿宋" w:hAnsi="仿宋" w:eastAsia="仿宋" w:cs="仿宋"/>
          <w:sz w:val="32"/>
          <w:szCs w:val="32"/>
          <w:lang w:eastAsia="zh-CN"/>
        </w:rPr>
        <w:t>各级</w:t>
      </w:r>
      <w:r>
        <w:rPr>
          <w:rFonts w:hint="eastAsia" w:ascii="仿宋" w:hAnsi="仿宋" w:eastAsia="仿宋" w:cs="仿宋"/>
          <w:sz w:val="32"/>
          <w:szCs w:val="32"/>
        </w:rPr>
        <w:t>气象主管机构在上级气象主管机构和本级人民政府的领导下，依法对易燃易爆场所的防雷安全工作进行监管，包括对防雷装置进行设计和审核、竣工验收，并定期实施防雷装置检测监督工作</w:t>
      </w:r>
      <w:r>
        <w:rPr>
          <w:rFonts w:hint="eastAsia" w:ascii="仿宋" w:hAnsi="仿宋" w:eastAsia="仿宋" w:cs="仿宋"/>
          <w:sz w:val="32"/>
          <w:szCs w:val="32"/>
          <w:lang w:val="zh-CN"/>
        </w:rPr>
        <w:t>。</w:t>
      </w:r>
    </w:p>
    <w:p w14:paraId="5C79575E">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县级以上气象主管机构应当按照国家、自治区有关规定，结合地方实际，组织本行政区域内的雷电监测网建设，建立完善雷电实时监测和短时临近预警业务系统。</w:t>
      </w:r>
    </w:p>
    <w:p w14:paraId="7AE757AE">
      <w:pPr>
        <w:pStyle w:val="4"/>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第八条 </w:t>
      </w:r>
      <w:r>
        <w:rPr>
          <w:rFonts w:hint="eastAsia" w:ascii="仿宋" w:hAnsi="仿宋" w:eastAsia="仿宋" w:cs="仿宋"/>
          <w:color w:val="auto"/>
          <w:sz w:val="32"/>
          <w:szCs w:val="32"/>
          <w:lang w:eastAsia="zh-CN"/>
        </w:rPr>
        <w:t>县级以上人民</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应</w:t>
      </w:r>
      <w:r>
        <w:rPr>
          <w:rFonts w:hint="eastAsia" w:ascii="仿宋" w:hAnsi="仿宋" w:eastAsia="仿宋" w:cs="仿宋"/>
          <w:sz w:val="32"/>
          <w:szCs w:val="32"/>
        </w:rPr>
        <w:t>建立联防制度，加强信息沟通和监督检查。建立并落实</w:t>
      </w:r>
      <w:r>
        <w:rPr>
          <w:rFonts w:hint="eastAsia" w:ascii="仿宋" w:hAnsi="仿宋" w:eastAsia="仿宋" w:cs="仿宋"/>
          <w:sz w:val="32"/>
          <w:szCs w:val="32"/>
          <w:lang w:eastAsia="zh-CN"/>
        </w:rPr>
        <w:t>易燃易爆场所</w:t>
      </w:r>
      <w:r>
        <w:rPr>
          <w:rFonts w:hint="eastAsia" w:ascii="仿宋" w:hAnsi="仿宋" w:eastAsia="仿宋" w:cs="仿宋"/>
          <w:sz w:val="32"/>
          <w:szCs w:val="32"/>
        </w:rPr>
        <w:t>防雷工程安全管理经常性工作机制，推动建立多部门协同监管和信息共享机制。</w:t>
      </w:r>
    </w:p>
    <w:p w14:paraId="6A48A93E">
      <w:pPr>
        <w:pStyle w:val="4"/>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第九条 </w:t>
      </w:r>
      <w:r>
        <w:rPr>
          <w:rFonts w:hint="eastAsia" w:ascii="仿宋" w:hAnsi="仿宋" w:eastAsia="仿宋" w:cs="仿宋"/>
          <w:sz w:val="32"/>
          <w:szCs w:val="32"/>
        </w:rPr>
        <w:t>雷电防护装置由相关主管部门按照下列规定监督管理：　　</w:t>
      </w:r>
    </w:p>
    <w:p w14:paraId="1EF9E6F5">
      <w:pPr>
        <w:pStyle w:val="4"/>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（一）气象主管机构负责本办法所称的易燃易爆场所规定单位的雷电防护装置的设计审核、竣工验收和监督管理；　　</w:t>
      </w:r>
    </w:p>
    <w:p w14:paraId="6F1C8128">
      <w:pPr>
        <w:pStyle w:val="4"/>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（二）住房城乡建设部门负责将房屋建筑工程和市政基础设施工程雷电防护装置的设计审核和竣工验收，纳入建筑工程施工图审查和竣工验收备案，并监督管理；　　</w:t>
      </w:r>
    </w:p>
    <w:p w14:paraId="1366957D">
      <w:pPr>
        <w:pStyle w:val="4"/>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（三）公路、水路、铁路、民航、水利、电力、通信等建设工程的主管部门，负责相应领域内建设工程雷电防护装置的监督管理。</w:t>
      </w:r>
    </w:p>
    <w:p w14:paraId="1734E66D">
      <w:pPr>
        <w:pStyle w:val="4"/>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第十条 </w:t>
      </w:r>
      <w:r>
        <w:rPr>
          <w:rFonts w:hint="eastAsia" w:ascii="仿宋" w:hAnsi="仿宋" w:eastAsia="仿宋" w:cs="仿宋"/>
          <w:sz w:val="32"/>
          <w:szCs w:val="32"/>
        </w:rPr>
        <w:t>易燃易爆场所遭受雷电灾害损失，应当及时向当地</w:t>
      </w:r>
      <w:r>
        <w:rPr>
          <w:rFonts w:hint="eastAsia" w:ascii="仿宋" w:hAnsi="仿宋" w:eastAsia="仿宋" w:cs="仿宋"/>
          <w:sz w:val="32"/>
          <w:szCs w:val="32"/>
          <w:highlight w:val="none"/>
          <w:lang w:eastAsia="zh-CN"/>
        </w:rPr>
        <w:t>政府及</w:t>
      </w:r>
      <w:r>
        <w:rPr>
          <w:rFonts w:hint="eastAsia" w:ascii="仿宋" w:hAnsi="仿宋" w:eastAsia="仿宋" w:cs="仿宋"/>
          <w:sz w:val="32"/>
          <w:szCs w:val="32"/>
        </w:rPr>
        <w:t>气象主管机构报告，并协助当地气象主管机构</w:t>
      </w:r>
      <w:r>
        <w:rPr>
          <w:rFonts w:hint="eastAsia" w:ascii="仿宋" w:hAnsi="仿宋" w:eastAsia="仿宋" w:cs="仿宋"/>
          <w:sz w:val="32"/>
          <w:szCs w:val="32"/>
          <w:lang w:eastAsia="zh-CN"/>
        </w:rPr>
        <w:t>开展</w:t>
      </w:r>
      <w:r>
        <w:rPr>
          <w:rFonts w:hint="eastAsia" w:ascii="仿宋" w:hAnsi="仿宋" w:eastAsia="仿宋" w:cs="仿宋"/>
          <w:sz w:val="32"/>
          <w:szCs w:val="32"/>
        </w:rPr>
        <w:t>对雷电灾害情况的调查和鉴定。</w:t>
      </w:r>
    </w:p>
    <w:p w14:paraId="1FBD85FE">
      <w:pPr>
        <w:pStyle w:val="4"/>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气象主管机构自接到报告之日起10个工作日内</w:t>
      </w:r>
      <w:r>
        <w:rPr>
          <w:rFonts w:hint="eastAsia" w:ascii="仿宋" w:hAnsi="仿宋" w:eastAsia="仿宋" w:cs="仿宋"/>
          <w:sz w:val="32"/>
          <w:szCs w:val="32"/>
          <w:lang w:eastAsia="zh-CN"/>
        </w:rPr>
        <w:t>出具</w:t>
      </w:r>
      <w:r>
        <w:rPr>
          <w:rFonts w:hint="eastAsia" w:ascii="仿宋" w:hAnsi="仿宋" w:eastAsia="仿宋" w:cs="仿宋"/>
          <w:sz w:val="32"/>
          <w:szCs w:val="32"/>
        </w:rPr>
        <w:t>雷电灾害调查报告，重特大雷电灾害可以延长7个工作日。 </w:t>
      </w:r>
    </w:p>
    <w:p w14:paraId="201D62BC">
      <w:pPr>
        <w:pStyle w:val="4"/>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气象主管机构接到报告后应当及时组织调查和鉴定，进行雷电灾害调查鉴定时，有关单位和个人应当予以配合。</w:t>
      </w:r>
    </w:p>
    <w:p w14:paraId="2BBF1CA3">
      <w:pPr>
        <w:pStyle w:val="4"/>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当地气象主管机构应当按照规定向当地人民政府和上级气象主管机构及时报告</w:t>
      </w:r>
      <w:r>
        <w:rPr>
          <w:rFonts w:hint="eastAsia" w:ascii="仿宋" w:hAnsi="仿宋" w:eastAsia="仿宋" w:cs="仿宋"/>
          <w:sz w:val="32"/>
          <w:szCs w:val="32"/>
          <w:lang w:eastAsia="zh-CN"/>
        </w:rPr>
        <w:t>易燃易爆场所</w:t>
      </w:r>
      <w:r>
        <w:rPr>
          <w:rFonts w:hint="eastAsia" w:ascii="仿宋" w:hAnsi="仿宋" w:eastAsia="仿宋" w:cs="仿宋"/>
          <w:sz w:val="32"/>
          <w:szCs w:val="32"/>
        </w:rPr>
        <w:t>雷电灾情。</w:t>
      </w:r>
    </w:p>
    <w:p w14:paraId="24B8D8F2">
      <w:pPr>
        <w:pStyle w:val="6"/>
        <w:widowControl/>
        <w:spacing w:beforeAutospacing="0" w:afterAutospacing="0" w:line="560" w:lineRule="exact"/>
        <w:jc w:val="center"/>
        <w:rPr>
          <w:rFonts w:ascii="黑体" w:hAnsi="黑体" w:eastAsia="黑体" w:cs="仿宋"/>
          <w:color w:val="000000"/>
          <w:sz w:val="32"/>
          <w:szCs w:val="32"/>
        </w:rPr>
      </w:pPr>
      <w:r>
        <w:rPr>
          <w:rFonts w:hint="eastAsia" w:ascii="黑体" w:hAnsi="黑体" w:eastAsia="黑体" w:cs="仿宋"/>
          <w:color w:val="000000"/>
          <w:kern w:val="0"/>
          <w:sz w:val="32"/>
          <w:szCs w:val="32"/>
        </w:rPr>
        <w:t>第三章　防雷安全主体责任</w:t>
      </w:r>
    </w:p>
    <w:p w14:paraId="6AA19892">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第十一条 </w:t>
      </w:r>
      <w:r>
        <w:rPr>
          <w:rFonts w:hint="eastAsia" w:ascii="仿宋" w:hAnsi="仿宋" w:eastAsia="仿宋" w:cs="仿宋"/>
          <w:sz w:val="32"/>
          <w:szCs w:val="32"/>
        </w:rPr>
        <w:t>倡导易燃易爆场所（重点领域）参加雷电灾害保险，因保险理赔需要气象灾害证明的，雷电灾害发生地气象主管机构应当无偿出具。</w:t>
      </w:r>
    </w:p>
    <w:p w14:paraId="5E641EED">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第十二条 </w:t>
      </w:r>
      <w:r>
        <w:rPr>
          <w:rFonts w:hint="eastAsia" w:ascii="仿宋" w:hAnsi="仿宋" w:eastAsia="仿宋" w:cs="仿宋"/>
          <w:sz w:val="32"/>
          <w:szCs w:val="32"/>
        </w:rPr>
        <w:t>建立健全易燃易爆场所的运营或管理人为第一责任人的防雷安全责任制，严格落实防雷安全主体责任，主动配合气象主管机构监督检查。</w:t>
      </w:r>
    </w:p>
    <w:p w14:paraId="1B83D3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第一责任人必须履行以下职责：</w:t>
      </w:r>
    </w:p>
    <w:p w14:paraId="58347D1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（一）建立并落实防雷安全管理制度，包括岗位责任制、日常巡查等；</w:t>
      </w:r>
    </w:p>
    <w:p w14:paraId="517BB2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（二）制定雷电灾害应急预案并定期组织应急演练，组织开展雷电灾害风险分级管控和隐患排查治理；</w:t>
      </w:r>
    </w:p>
    <w:p w14:paraId="171665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（三）指定专人负责防雷装置的日常维护和管理，组织实施雷电灾害防御工作；</w:t>
      </w:r>
    </w:p>
    <w:p w14:paraId="34312F76">
      <w:pPr>
        <w:spacing w:line="56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sz w:val="32"/>
          <w:szCs w:val="32"/>
        </w:rPr>
        <w:t>（四）按照国家规定委托具有相应资质的单位对雷电防护装置进行半年一次检测</w:t>
      </w:r>
      <w:r>
        <w:rPr>
          <w:rFonts w:hint="default" w:ascii="仿宋" w:hAnsi="仿宋" w:eastAsia="仿宋" w:cs="仿宋"/>
          <w:color w:val="auto"/>
          <w:sz w:val="32"/>
          <w:szCs w:val="32"/>
        </w:rPr>
        <w:t>。</w:t>
      </w:r>
      <w:r>
        <w:rPr>
          <w:rFonts w:hint="eastAsia" w:ascii="仿宋" w:hAnsi="仿宋" w:eastAsia="仿宋" w:cs="仿宋"/>
          <w:color w:val="auto"/>
          <w:sz w:val="32"/>
          <w:szCs w:val="32"/>
        </w:rPr>
        <w:t>制定完善雷电预警信息接收机制。根据雷电预测预警信息科学合理开展经营活动</w:t>
      </w:r>
      <w:r>
        <w:rPr>
          <w:rFonts w:hint="eastAsia" w:ascii="仿宋" w:hAnsi="仿宋" w:eastAsia="仿宋" w:cs="仿宋"/>
          <w:sz w:val="32"/>
          <w:szCs w:val="32"/>
          <w:lang w:eastAsia="zh-CN"/>
        </w:rPr>
        <w:t>；</w:t>
      </w:r>
    </w:p>
    <w:p w14:paraId="72C870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）组织或者参加雷电灾害防御知识培训；</w:t>
      </w:r>
    </w:p>
    <w:p w14:paraId="46BCFB3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）留存雷电防护装置检测报告、原始记录以及现场检测过程见证记录；</w:t>
      </w:r>
    </w:p>
    <w:p w14:paraId="16FE7B62">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）建立防雷安全管理档案，内容包括：设计、施工、审核及验收文件，定期检测报告，维护、维修记录，雷灾事故记录等</w:t>
      </w:r>
      <w:r>
        <w:rPr>
          <w:rFonts w:hint="eastAsia" w:ascii="仿宋" w:hAnsi="仿宋" w:eastAsia="仿宋" w:cs="仿宋"/>
          <w:sz w:val="32"/>
          <w:szCs w:val="32"/>
          <w:lang w:eastAsia="zh-CN"/>
        </w:rPr>
        <w:t>，</w:t>
      </w:r>
      <w:r>
        <w:rPr>
          <w:rFonts w:hint="eastAsia" w:ascii="仿宋" w:hAnsi="仿宋" w:eastAsia="仿宋" w:cs="仿宋"/>
          <w:sz w:val="32"/>
          <w:szCs w:val="32"/>
        </w:rPr>
        <w:t>档案应长期保存</w:t>
      </w:r>
      <w:r>
        <w:rPr>
          <w:rFonts w:hint="eastAsia" w:ascii="仿宋" w:hAnsi="仿宋" w:eastAsia="仿宋" w:cs="仿宋"/>
          <w:sz w:val="32"/>
          <w:szCs w:val="32"/>
          <w:lang w:eastAsia="zh-CN"/>
        </w:rPr>
        <w:t>；</w:t>
      </w:r>
    </w:p>
    <w:p w14:paraId="0BFB0F26">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第十三条 </w:t>
      </w:r>
      <w:r>
        <w:rPr>
          <w:rFonts w:hint="eastAsia" w:ascii="仿宋" w:hAnsi="仿宋" w:eastAsia="仿宋" w:cs="仿宋"/>
          <w:color w:val="auto"/>
          <w:kern w:val="2"/>
          <w:sz w:val="32"/>
          <w:szCs w:val="32"/>
          <w:lang w:eastAsia="zh-CN"/>
        </w:rPr>
        <w:t>易燃易爆场所要</w:t>
      </w:r>
      <w:r>
        <w:rPr>
          <w:rFonts w:hint="eastAsia" w:ascii="仿宋" w:hAnsi="仿宋" w:eastAsia="仿宋" w:cs="仿宋"/>
          <w:sz w:val="32"/>
          <w:szCs w:val="32"/>
        </w:rPr>
        <w:t>健全防雷安全管理机构，明确防雷安全管理人员，掌握本单位有关雷电防护装置安全运行情况，检查督促落实防雷安全责任。</w:t>
      </w:r>
    </w:p>
    <w:p w14:paraId="5746C13C">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第十四条 </w:t>
      </w:r>
      <w:r>
        <w:rPr>
          <w:rFonts w:hint="eastAsia" w:ascii="仿宋" w:hAnsi="仿宋" w:eastAsia="仿宋" w:cs="仿宋"/>
          <w:sz w:val="32"/>
          <w:szCs w:val="32"/>
        </w:rPr>
        <w:t>防雷安全管理人员及</w:t>
      </w:r>
      <w:r>
        <w:rPr>
          <w:rFonts w:hint="eastAsia" w:ascii="仿宋" w:hAnsi="仿宋" w:eastAsia="仿宋" w:cs="仿宋"/>
          <w:sz w:val="32"/>
          <w:szCs w:val="32"/>
          <w:lang w:eastAsia="zh-CN"/>
        </w:rPr>
        <w:t>易燃易爆场所</w:t>
      </w:r>
      <w:r>
        <w:rPr>
          <w:rFonts w:hint="eastAsia" w:ascii="仿宋" w:hAnsi="仿宋" w:eastAsia="仿宋" w:cs="仿宋"/>
          <w:sz w:val="32"/>
          <w:szCs w:val="32"/>
        </w:rPr>
        <w:t>地址等有变更时，应在变更后10个工作日内向当地气象主管机构报告。</w:t>
      </w:r>
    </w:p>
    <w:p w14:paraId="6E9D5957">
      <w:pPr>
        <w:keepNext w:val="0"/>
        <w:keepLines w:val="0"/>
        <w:widowControl/>
        <w:suppressLineNumbers w:val="0"/>
        <w:ind w:firstLine="640" w:firstLineChars="200"/>
        <w:jc w:val="left"/>
        <w:rPr>
          <w:rFonts w:hint="eastAsia" w:ascii="仿宋" w:hAnsi="仿宋" w:eastAsia="仿宋" w:cs="仿宋"/>
          <w:sz w:val="32"/>
          <w:szCs w:val="32"/>
          <w:highlight w:val="red"/>
          <w:lang w:bidi="ar"/>
        </w:rPr>
      </w:pPr>
      <w:r>
        <w:rPr>
          <w:rFonts w:hint="eastAsia" w:ascii="黑体" w:hAnsi="宋体" w:eastAsia="黑体" w:cs="黑体"/>
          <w:color w:val="000000"/>
          <w:kern w:val="0"/>
          <w:sz w:val="32"/>
          <w:szCs w:val="32"/>
        </w:rPr>
        <w:t xml:space="preserve">第十五条 </w:t>
      </w:r>
      <w:r>
        <w:rPr>
          <w:rFonts w:hint="eastAsia" w:ascii="仿宋" w:hAnsi="仿宋" w:eastAsia="仿宋" w:cs="仿宋"/>
          <w:sz w:val="32"/>
          <w:szCs w:val="32"/>
        </w:rPr>
        <w:t>易燃易爆场所应当确定雷电灾害防御重点部位，设置安全警示标志，</w:t>
      </w:r>
      <w:r>
        <w:rPr>
          <w:rFonts w:hint="eastAsia" w:ascii="仿宋" w:hAnsi="仿宋" w:eastAsia="仿宋" w:cs="仿宋"/>
          <w:sz w:val="32"/>
          <w:szCs w:val="32"/>
          <w:lang w:eastAsia="zh-CN"/>
        </w:rPr>
        <w:t>安装</w:t>
      </w:r>
      <w:r>
        <w:rPr>
          <w:rFonts w:hint="eastAsia" w:ascii="仿宋" w:hAnsi="仿宋" w:eastAsia="仿宋" w:cs="仿宋"/>
          <w:sz w:val="32"/>
          <w:szCs w:val="32"/>
        </w:rPr>
        <w:t>雷电预警系统，地上储油、气罐应加装接地电阻在线监测系统。</w:t>
      </w:r>
    </w:p>
    <w:p w14:paraId="759F56EC">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第十六条 </w:t>
      </w:r>
      <w:r>
        <w:rPr>
          <w:rFonts w:hint="eastAsia" w:ascii="仿宋" w:hAnsi="仿宋" w:eastAsia="仿宋" w:cs="仿宋"/>
          <w:sz w:val="32"/>
          <w:szCs w:val="32"/>
        </w:rPr>
        <w:t>易燃易爆场所应主动向当地气象主管机构申报新建、改建、扩建建（构）筑物雷电防护装置（含浪涌保护器）设计审核和竣工验收，并按规定履行设计审核和竣工验收审批程序，未通过设计审核或竣工验收的雷电防护装置，不得开工建设或投入使用。</w:t>
      </w:r>
    </w:p>
    <w:p w14:paraId="413C6294">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第十七条 </w:t>
      </w:r>
      <w:r>
        <w:rPr>
          <w:rFonts w:hint="eastAsia" w:ascii="仿宋" w:hAnsi="仿宋" w:eastAsia="仿宋" w:cs="仿宋"/>
          <w:sz w:val="32"/>
          <w:szCs w:val="32"/>
        </w:rPr>
        <w:t>易燃易爆场所每年应至少开展一次雷电灾害应急演练，熟练掌握雷电灾害应急救援流程、规范和措施。</w:t>
      </w:r>
    </w:p>
    <w:p w14:paraId="4D4901A0">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第十八条 </w:t>
      </w:r>
      <w:r>
        <w:rPr>
          <w:rFonts w:hint="eastAsia" w:ascii="仿宋" w:hAnsi="仿宋" w:eastAsia="仿宋" w:cs="仿宋"/>
          <w:sz w:val="32"/>
          <w:szCs w:val="32"/>
        </w:rPr>
        <w:t>易燃易爆场所应定期组织制定并实施本单位防雷安全教育和培训，并负责向本单位员工普及雷电灾害防御科普知识。</w:t>
      </w:r>
    </w:p>
    <w:p w14:paraId="1601CB49">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第十九条 </w:t>
      </w:r>
      <w:r>
        <w:rPr>
          <w:rFonts w:hint="eastAsia" w:ascii="仿宋" w:hAnsi="仿宋" w:eastAsia="仿宋" w:cs="仿宋"/>
          <w:sz w:val="32"/>
          <w:szCs w:val="32"/>
        </w:rPr>
        <w:t>易燃易爆场所应当主动关注当地气象部门发布的雷电天气预警信息，必要时，及时启动雷电灾害应急预案。</w:t>
      </w:r>
    </w:p>
    <w:p w14:paraId="16847481">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第二十条 </w:t>
      </w:r>
      <w:r>
        <w:rPr>
          <w:rFonts w:hint="eastAsia" w:ascii="仿宋" w:hAnsi="仿宋" w:eastAsia="仿宋" w:cs="仿宋"/>
          <w:color w:val="auto"/>
          <w:kern w:val="2"/>
          <w:sz w:val="32"/>
          <w:szCs w:val="32"/>
          <w:lang w:eastAsia="zh-CN"/>
        </w:rPr>
        <w:t>易燃易爆场所</w:t>
      </w:r>
      <w:r>
        <w:rPr>
          <w:rFonts w:hint="eastAsia" w:ascii="仿宋" w:hAnsi="仿宋" w:eastAsia="仿宋" w:cs="仿宋"/>
          <w:sz w:val="32"/>
          <w:szCs w:val="32"/>
        </w:rPr>
        <w:t>对有关雷电防护装置文件、设计安装图纸、检测报告、隐患整改意见、规章制度、影像资料、安全培训记录以及维护记录等及时归档，妥善保管。</w:t>
      </w:r>
    </w:p>
    <w:p w14:paraId="0C7136A3">
      <w:pPr>
        <w:pStyle w:val="6"/>
        <w:widowControl/>
        <w:numPr>
          <w:ilvl w:val="0"/>
          <w:numId w:val="2"/>
        </w:numPr>
        <w:spacing w:beforeAutospacing="0" w:afterAutospacing="0" w:line="560" w:lineRule="exact"/>
        <w:jc w:val="center"/>
        <w:rPr>
          <w:rFonts w:ascii="黑体" w:hAnsi="宋体" w:eastAsia="黑体" w:cs="黑体"/>
          <w:color w:val="000000"/>
          <w:sz w:val="32"/>
          <w:szCs w:val="32"/>
        </w:rPr>
      </w:pPr>
      <w:r>
        <w:rPr>
          <w:rFonts w:hint="eastAsia" w:ascii="黑体" w:hAnsi="宋体" w:eastAsia="黑体" w:cs="黑体"/>
          <w:color w:val="000000"/>
          <w:sz w:val="32"/>
          <w:szCs w:val="32"/>
        </w:rPr>
        <w:t>易燃易爆场所雷电防护装置检测</w:t>
      </w:r>
    </w:p>
    <w:p w14:paraId="4E099C30">
      <w:pPr>
        <w:spacing w:line="560" w:lineRule="exact"/>
        <w:ind w:firstLine="640" w:firstLineChars="200"/>
        <w:rPr>
          <w:rFonts w:hint="eastAsia" w:ascii="仿宋" w:hAnsi="仿宋" w:eastAsia="仿宋" w:cs="仿宋"/>
          <w:sz w:val="32"/>
          <w:szCs w:val="32"/>
        </w:rPr>
      </w:pPr>
      <w:r>
        <w:rPr>
          <w:rFonts w:hint="eastAsia" w:ascii="黑体" w:hAnsi="宋体" w:eastAsia="黑体" w:cs="黑体"/>
          <w:color w:val="000000"/>
          <w:kern w:val="0"/>
          <w:sz w:val="32"/>
          <w:szCs w:val="32"/>
        </w:rPr>
        <w:t>第二十一条</w:t>
      </w:r>
      <w:r>
        <w:rPr>
          <w:rFonts w:hint="eastAsia" w:ascii="仿宋" w:hAnsi="仿宋" w:eastAsia="仿宋" w:cs="仿宋"/>
          <w:sz w:val="32"/>
          <w:szCs w:val="32"/>
        </w:rPr>
        <w:t xml:space="preserve"> 易燃易爆场所应当严格执行雷电防护装置安全技术标准及有关规定，依法委托具有甲级防雷装置检测资质的机构对本单位所有雷电防护装置定期进行全面检测，做到应检必检，杜绝由于漏检形成的安全隐患。</w:t>
      </w:r>
    </w:p>
    <w:p w14:paraId="4D4921D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在进行雷电防护装置检测前，易燃易</w:t>
      </w:r>
      <w:r>
        <w:rPr>
          <w:rFonts w:hint="eastAsia" w:ascii="仿宋" w:hAnsi="仿宋" w:eastAsia="仿宋" w:cs="仿宋"/>
          <w:sz w:val="32"/>
          <w:szCs w:val="32"/>
          <w:lang w:eastAsia="zh-CN"/>
        </w:rPr>
        <w:t>爆</w:t>
      </w:r>
      <w:r>
        <w:rPr>
          <w:rFonts w:hint="eastAsia" w:ascii="仿宋" w:hAnsi="仿宋" w:eastAsia="仿宋" w:cs="仿宋"/>
          <w:sz w:val="32"/>
          <w:szCs w:val="32"/>
        </w:rPr>
        <w:t>场所管理人员应提前告知当地气象主管机构，气象主管机构根据需要到防雷装置检测活动现场进行监督检查。对检测机构的资质进行核验，对现场检测技术人员姓名及其身份信息进行查询。</w:t>
      </w:r>
    </w:p>
    <w:p w14:paraId="4B90B35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本办法所称雷电防护装置检测是指对接闪器、引下线、接地装置、电涌保护器及其连接导体等构成的，用以防御雷电灾害的设施或者系统进行检测的活动。</w:t>
      </w:r>
    </w:p>
    <w:p w14:paraId="1DC71C83">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第二十二条 </w:t>
      </w:r>
      <w:r>
        <w:rPr>
          <w:rFonts w:hint="eastAsia" w:ascii="仿宋" w:hAnsi="仿宋" w:eastAsia="仿宋" w:cs="仿宋"/>
          <w:sz w:val="32"/>
          <w:szCs w:val="32"/>
        </w:rPr>
        <w:t>那曲冻土期较长，易燃易爆场所及</w:t>
      </w:r>
      <w:r>
        <w:rPr>
          <w:rFonts w:hint="eastAsia" w:ascii="仿宋" w:hAnsi="仿宋" w:eastAsia="仿宋" w:cs="仿宋"/>
          <w:sz w:val="32"/>
          <w:szCs w:val="32"/>
          <w:lang w:eastAsia="zh-CN"/>
        </w:rPr>
        <w:t>防雷装置</w:t>
      </w:r>
      <w:r>
        <w:rPr>
          <w:rFonts w:hint="eastAsia" w:ascii="仿宋" w:hAnsi="仿宋" w:eastAsia="仿宋" w:cs="仿宋"/>
          <w:sz w:val="32"/>
          <w:szCs w:val="32"/>
        </w:rPr>
        <w:t>检测企业要做好年度检测计划，冻土期不宜进行检测。</w:t>
      </w:r>
    </w:p>
    <w:p w14:paraId="76E030F4">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第二十三条 </w:t>
      </w:r>
      <w:r>
        <w:rPr>
          <w:rFonts w:hint="eastAsia" w:ascii="仿宋" w:hAnsi="仿宋" w:eastAsia="仿宋" w:cs="仿宋"/>
          <w:sz w:val="32"/>
          <w:szCs w:val="32"/>
          <w:lang w:val="zh-CN"/>
        </w:rPr>
        <w:t>从事防雷装置检测的单位，出具虚假检测报告的，由县级以上气象主管机构责令改正，给予警告；拒不改正的，撤销其防雷装置检测资质；给他人造成损失的，依法承担赔偿责任。从事防雷装置检测的单位应保证检测报告</w:t>
      </w:r>
      <w:r>
        <w:rPr>
          <w:rFonts w:hint="eastAsia" w:ascii="仿宋" w:hAnsi="仿宋" w:eastAsia="仿宋" w:cs="仿宋"/>
          <w:sz w:val="32"/>
          <w:szCs w:val="32"/>
        </w:rPr>
        <w:t>真实可靠和完整性，报告应附检测资质及检测人员技术能力评价证书，并上传至防雷安全信息化监管平台。未按气象主管机构要求上传至防雷安全信息化监管平台的，由县级以上气象主管机构责令限期改正。</w:t>
      </w:r>
    </w:p>
    <w:p w14:paraId="4FCB3FCA">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检测单位对雷电防护装置检测后，应当在检测完毕之日起五个工作日内出具检测报告。检测结果不合格的，检测单位应当及时通知被检测单位；被检测单位应当及时进行整改，消除隐患，并向当地气象主管机构报告整改结果。</w:t>
      </w:r>
    </w:p>
    <w:p w14:paraId="47E5F927">
      <w:pPr>
        <w:adjustRightInd w:val="0"/>
        <w:snapToGrid w:val="0"/>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第二十四条 </w:t>
      </w:r>
      <w:r>
        <w:rPr>
          <w:rFonts w:hint="eastAsia" w:ascii="仿宋" w:hAnsi="仿宋" w:eastAsia="仿宋" w:cs="仿宋"/>
          <w:sz w:val="32"/>
          <w:szCs w:val="32"/>
        </w:rPr>
        <w:t>雷电防护装置检测单位在那曲设立分支机构或者跨省、自治区、直辖市在那曲市行政区域内从事雷电防护装置检测活动的，应当提前在西藏自治区气象局登记，每年的3月份前将当年的检测计划报当地气象主管机构。</w:t>
      </w:r>
    </w:p>
    <w:p w14:paraId="20504264">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第二十五条 </w:t>
      </w:r>
      <w:r>
        <w:rPr>
          <w:rFonts w:hint="eastAsia" w:ascii="仿宋" w:hAnsi="仿宋" w:eastAsia="仿宋" w:cs="仿宋"/>
          <w:sz w:val="32"/>
          <w:szCs w:val="32"/>
        </w:rPr>
        <w:t>任何单位和个人发现雷电防护装置检测机构在检测服务过程中不执行雷电防护装置检测标准或规定的，存在弄虚作假的，应及时向当地气象主管机构举报。</w:t>
      </w:r>
    </w:p>
    <w:p w14:paraId="2DADAD1D">
      <w:pPr>
        <w:pStyle w:val="6"/>
        <w:widowControl/>
        <w:spacing w:beforeAutospacing="0" w:afterAutospacing="0" w:line="560" w:lineRule="exact"/>
        <w:jc w:val="center"/>
        <w:rPr>
          <w:rFonts w:ascii="黑体" w:hAnsi="宋体" w:eastAsia="黑体" w:cs="黑体"/>
          <w:color w:val="000000"/>
          <w:sz w:val="32"/>
          <w:szCs w:val="32"/>
        </w:rPr>
      </w:pPr>
      <w:r>
        <w:rPr>
          <w:rFonts w:hint="eastAsia" w:ascii="黑体" w:hAnsi="宋体" w:eastAsia="黑体" w:cs="黑体"/>
          <w:color w:val="000000"/>
          <w:sz w:val="32"/>
          <w:szCs w:val="32"/>
        </w:rPr>
        <w:t>第五章 罚则</w:t>
      </w:r>
    </w:p>
    <w:p w14:paraId="39FD7C05">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 xml:space="preserve">第二十六条 </w:t>
      </w:r>
      <w:r>
        <w:rPr>
          <w:rFonts w:hint="eastAsia" w:ascii="仿宋" w:hAnsi="仿宋" w:eastAsia="仿宋" w:cs="仿宋"/>
          <w:sz w:val="32"/>
          <w:szCs w:val="32"/>
        </w:rPr>
        <w:t>气象主管机构和其他国家机关工作人员在易燃易爆场所防雷安全管理中不履行职责或者滥用职权、徇私舞弊的，由有关部门依法给予处分；构成犯罪的，依法追究刑事责任。</w:t>
      </w:r>
    </w:p>
    <w:p w14:paraId="5F2E6E56">
      <w:pPr>
        <w:spacing w:line="560" w:lineRule="exact"/>
        <w:ind w:firstLine="640" w:firstLineChars="200"/>
        <w:rPr>
          <w:rFonts w:ascii="仿宋" w:hAnsi="仿宋" w:eastAsia="仿宋" w:cs="仿宋"/>
          <w:sz w:val="32"/>
          <w:szCs w:val="32"/>
        </w:rPr>
      </w:pPr>
      <w:r>
        <w:rPr>
          <w:rFonts w:hint="eastAsia" w:ascii="黑体" w:hAnsi="宋体" w:eastAsia="黑体" w:cs="黑体"/>
          <w:color w:val="000000"/>
          <w:kern w:val="0"/>
          <w:sz w:val="32"/>
          <w:szCs w:val="32"/>
        </w:rPr>
        <w:t>第二十七条</w:t>
      </w:r>
      <w:r>
        <w:rPr>
          <w:rFonts w:hint="eastAsia" w:ascii="仿宋" w:hAnsi="仿宋" w:eastAsia="仿宋" w:cs="仿宋"/>
          <w:sz w:val="32"/>
          <w:szCs w:val="32"/>
        </w:rPr>
        <w:t xml:space="preserve"> 违反本办法规定的行为，法律法规已规定法律责任的，从其规定。</w:t>
      </w:r>
    </w:p>
    <w:p w14:paraId="5D224FB9">
      <w:pPr>
        <w:pStyle w:val="6"/>
        <w:widowControl/>
        <w:spacing w:beforeAutospacing="0" w:afterAutospacing="0" w:line="560" w:lineRule="exact"/>
        <w:jc w:val="center"/>
        <w:rPr>
          <w:rFonts w:ascii="黑体" w:hAnsi="宋体" w:eastAsia="黑体" w:cs="黑体"/>
          <w:color w:val="000000"/>
          <w:sz w:val="32"/>
          <w:szCs w:val="32"/>
        </w:rPr>
      </w:pPr>
      <w:r>
        <w:rPr>
          <w:rFonts w:hint="eastAsia" w:ascii="黑体" w:hAnsi="宋体" w:eastAsia="黑体" w:cs="黑体"/>
          <w:color w:val="000000"/>
          <w:sz w:val="32"/>
          <w:szCs w:val="32"/>
        </w:rPr>
        <w:t>第六章 附则</w:t>
      </w:r>
    </w:p>
    <w:p w14:paraId="001688CF">
      <w:pPr>
        <w:pStyle w:val="6"/>
        <w:widowControl/>
        <w:spacing w:beforeAutospacing="0" w:afterAutospacing="0" w:line="560" w:lineRule="exact"/>
        <w:ind w:firstLine="640" w:firstLineChars="200"/>
        <w:rPr>
          <w:rFonts w:ascii="仿宋" w:hAnsi="仿宋" w:eastAsia="仿宋" w:cs="仿宋"/>
          <w:sz w:val="32"/>
          <w:szCs w:val="32"/>
        </w:rPr>
      </w:pPr>
      <w:r>
        <w:rPr>
          <w:rFonts w:hint="eastAsia" w:ascii="黑体" w:hAnsi="宋体" w:eastAsia="黑体" w:cs="黑体"/>
          <w:color w:val="000000"/>
          <w:sz w:val="32"/>
          <w:szCs w:val="32"/>
        </w:rPr>
        <w:t>第二十八条</w:t>
      </w:r>
      <w:r>
        <w:rPr>
          <w:rFonts w:hint="eastAsia" w:ascii="黑体" w:hAnsi="宋体" w:eastAsia="黑体" w:cs="黑体"/>
          <w:color w:val="000000"/>
          <w:sz w:val="32"/>
          <w:szCs w:val="32"/>
          <w:lang w:val="en-US" w:eastAsia="zh-CN"/>
        </w:rPr>
        <w:t xml:space="preserve"> </w:t>
      </w:r>
      <w:r>
        <w:rPr>
          <w:rFonts w:hint="eastAsia" w:ascii="仿宋" w:hAnsi="仿宋" w:eastAsia="仿宋" w:cs="仿宋"/>
          <w:sz w:val="32"/>
          <w:szCs w:val="32"/>
        </w:rPr>
        <w:t>本办法应用中的具体问题，由</w:t>
      </w:r>
      <w:r>
        <w:rPr>
          <w:rFonts w:hint="eastAsia" w:ascii="仿宋" w:hAnsi="仿宋" w:eastAsia="仿宋" w:cs="仿宋"/>
          <w:sz w:val="32"/>
          <w:szCs w:val="32"/>
          <w:lang w:eastAsia="zh-CN"/>
        </w:rPr>
        <w:t>西藏</w:t>
      </w:r>
      <w:r>
        <w:rPr>
          <w:rFonts w:hint="eastAsia" w:ascii="仿宋" w:hAnsi="仿宋" w:eastAsia="仿宋" w:cs="仿宋"/>
          <w:sz w:val="32"/>
          <w:szCs w:val="32"/>
        </w:rPr>
        <w:t>那曲市气象</w:t>
      </w:r>
      <w:r>
        <w:rPr>
          <w:rFonts w:hint="eastAsia" w:ascii="仿宋" w:hAnsi="仿宋" w:eastAsia="仿宋" w:cs="仿宋"/>
          <w:sz w:val="32"/>
          <w:szCs w:val="32"/>
          <w:lang w:eastAsia="zh-CN"/>
        </w:rPr>
        <w:t>局</w:t>
      </w:r>
      <w:r>
        <w:rPr>
          <w:rFonts w:hint="eastAsia" w:ascii="仿宋" w:hAnsi="仿宋" w:eastAsia="仿宋" w:cs="仿宋"/>
          <w:sz w:val="32"/>
          <w:szCs w:val="32"/>
        </w:rPr>
        <w:t>负责解释。</w:t>
      </w:r>
    </w:p>
    <w:p w14:paraId="6E0DA7A6">
      <w:pPr>
        <w:pStyle w:val="6"/>
        <w:spacing w:beforeAutospacing="0" w:afterAutospacing="0" w:line="560" w:lineRule="exact"/>
        <w:ind w:firstLine="640" w:firstLineChars="200"/>
        <w:jc w:val="both"/>
        <w:rPr>
          <w:rFonts w:ascii="仿宋" w:hAnsi="仿宋" w:eastAsia="仿宋" w:cs="仿宋"/>
          <w:sz w:val="32"/>
          <w:szCs w:val="32"/>
        </w:rPr>
      </w:pPr>
      <w:r>
        <w:rPr>
          <w:rFonts w:hint="eastAsia" w:ascii="黑体" w:hAnsi="宋体" w:eastAsia="黑体" w:cs="黑体"/>
          <w:color w:val="000000"/>
          <w:sz w:val="32"/>
          <w:szCs w:val="32"/>
        </w:rPr>
        <w:t>第二十九条</w:t>
      </w:r>
      <w:r>
        <w:rPr>
          <w:rFonts w:hint="eastAsia" w:ascii="黑体" w:hAnsi="宋体" w:eastAsia="黑体" w:cs="黑体"/>
          <w:color w:val="000000"/>
          <w:sz w:val="32"/>
          <w:szCs w:val="32"/>
          <w:lang w:val="en-US" w:eastAsia="zh-CN"/>
        </w:rPr>
        <w:t xml:space="preserve"> </w:t>
      </w:r>
      <w:r>
        <w:rPr>
          <w:rFonts w:hint="eastAsia" w:ascii="仿宋" w:hAnsi="仿宋" w:eastAsia="仿宋" w:cs="仿宋"/>
          <w:sz w:val="32"/>
          <w:szCs w:val="32"/>
        </w:rPr>
        <w:t>本办法自</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日起施行。</w:t>
      </w:r>
      <w:bookmarkStart w:id="0" w:name="_GoBack"/>
      <w:bookmarkEnd w:id="0"/>
    </w:p>
    <w:p w14:paraId="5C14B61F">
      <w:pPr>
        <w:pStyle w:val="6"/>
        <w:widowControl/>
        <w:spacing w:beforeAutospacing="0" w:afterAutospacing="0" w:line="30" w:lineRule="atLeast"/>
        <w:ind w:firstLine="640" w:firstLineChars="200"/>
        <w:rPr>
          <w:rFonts w:ascii="仿宋_GB2312" w:eastAsia="仿宋_GB2312"/>
          <w:sz w:val="32"/>
          <w:szCs w:val="32"/>
        </w:rPr>
      </w:pPr>
    </w:p>
    <w:p w14:paraId="5C1E6427">
      <w:pPr>
        <w:pStyle w:val="6"/>
        <w:widowControl/>
        <w:spacing w:beforeAutospacing="0" w:afterAutospacing="0" w:line="30" w:lineRule="atLeast"/>
        <w:jc w:val="both"/>
        <w:rPr>
          <w:rFonts w:ascii="黑体" w:hAnsi="宋体" w:eastAsia="黑体" w:cs="黑体"/>
          <w:color w:val="000000"/>
          <w:sz w:val="32"/>
          <w:szCs w:val="32"/>
        </w:rPr>
      </w:pPr>
    </w:p>
    <w:p w14:paraId="365D66B3">
      <w:pPr>
        <w:pStyle w:val="6"/>
        <w:widowControl/>
        <w:spacing w:beforeAutospacing="0" w:afterAutospacing="0" w:line="30" w:lineRule="atLeast"/>
        <w:jc w:val="center"/>
        <w:rPr>
          <w:rFonts w:ascii="黑体" w:hAnsi="宋体" w:eastAsia="黑体" w:cs="黑体"/>
          <w:color w:val="000000"/>
          <w:sz w:val="32"/>
          <w:szCs w:val="32"/>
        </w:rPr>
      </w:pPr>
    </w:p>
    <w:p w14:paraId="1309272A">
      <w:pPr>
        <w:tabs>
          <w:tab w:val="left" w:pos="5497"/>
        </w:tabs>
        <w:spacing w:line="240" w:lineRule="auto"/>
        <w:ind w:firstLine="0" w:firstLineChars="0"/>
        <w:jc w:val="left"/>
        <w:rPr>
          <w:rFonts w:asciiTheme="minorHAnsi" w:hAnsiTheme="minorHAnsi" w:eastAsiaTheme="minorEastAsia" w:cstheme="minorBidi"/>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766D1"/>
    <w:multiLevelType w:val="singleLevel"/>
    <w:tmpl w:val="053766D1"/>
    <w:lvl w:ilvl="0" w:tentative="0">
      <w:start w:val="5"/>
      <w:numFmt w:val="chineseCounting"/>
      <w:suff w:val="space"/>
      <w:lvlText w:val="第%1条"/>
      <w:lvlJc w:val="left"/>
      <w:rPr>
        <w:rFonts w:hint="eastAsia" w:ascii="黑体" w:hAnsi="黑体" w:eastAsia="黑体" w:cs="黑体"/>
        <w:sz w:val="32"/>
        <w:szCs w:val="32"/>
      </w:rPr>
    </w:lvl>
  </w:abstractNum>
  <w:abstractNum w:abstractNumId="1">
    <w:nsid w:val="4F69A9CF"/>
    <w:multiLevelType w:val="singleLevel"/>
    <w:tmpl w:val="4F69A9C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ODIzZDFjODEyYTQ0M2JjM2M4M2ZhMDdkMWRlMWUifQ=="/>
  </w:docVars>
  <w:rsids>
    <w:rsidRoot w:val="00723539"/>
    <w:rsid w:val="000F20FF"/>
    <w:rsid w:val="001D21F1"/>
    <w:rsid w:val="002403BD"/>
    <w:rsid w:val="003152A3"/>
    <w:rsid w:val="004E5489"/>
    <w:rsid w:val="005C2471"/>
    <w:rsid w:val="00723539"/>
    <w:rsid w:val="00BF0E19"/>
    <w:rsid w:val="00FD3963"/>
    <w:rsid w:val="012B3DCC"/>
    <w:rsid w:val="01BC4926"/>
    <w:rsid w:val="01C414C7"/>
    <w:rsid w:val="01E054EB"/>
    <w:rsid w:val="045D2E23"/>
    <w:rsid w:val="047708A0"/>
    <w:rsid w:val="05302A65"/>
    <w:rsid w:val="058C512A"/>
    <w:rsid w:val="070E48A8"/>
    <w:rsid w:val="08831211"/>
    <w:rsid w:val="088A61B1"/>
    <w:rsid w:val="08F91C99"/>
    <w:rsid w:val="0ACC2AB1"/>
    <w:rsid w:val="0B674587"/>
    <w:rsid w:val="0BFC73C5"/>
    <w:rsid w:val="0C3F1B6D"/>
    <w:rsid w:val="0D0B70B6"/>
    <w:rsid w:val="0DBD7261"/>
    <w:rsid w:val="0DF801A0"/>
    <w:rsid w:val="0E2E0769"/>
    <w:rsid w:val="0FB12275"/>
    <w:rsid w:val="10DC4B01"/>
    <w:rsid w:val="115D4462"/>
    <w:rsid w:val="11627CCB"/>
    <w:rsid w:val="11883312"/>
    <w:rsid w:val="11D32976"/>
    <w:rsid w:val="12327AA1"/>
    <w:rsid w:val="12CB0394"/>
    <w:rsid w:val="14994DF6"/>
    <w:rsid w:val="150D2643"/>
    <w:rsid w:val="156F29B6"/>
    <w:rsid w:val="16D626D4"/>
    <w:rsid w:val="17710C68"/>
    <w:rsid w:val="17CE33B9"/>
    <w:rsid w:val="18001FEB"/>
    <w:rsid w:val="18FE5AFA"/>
    <w:rsid w:val="192C478A"/>
    <w:rsid w:val="194D075C"/>
    <w:rsid w:val="195425EF"/>
    <w:rsid w:val="1AE94FB9"/>
    <w:rsid w:val="1B982F70"/>
    <w:rsid w:val="1BA94001"/>
    <w:rsid w:val="1BF24289"/>
    <w:rsid w:val="1BFA242F"/>
    <w:rsid w:val="1C4D74F7"/>
    <w:rsid w:val="1C4F52EF"/>
    <w:rsid w:val="1CF5481A"/>
    <w:rsid w:val="1D0D1432"/>
    <w:rsid w:val="1D152095"/>
    <w:rsid w:val="1E0C13CE"/>
    <w:rsid w:val="1E396257"/>
    <w:rsid w:val="1EA47DFB"/>
    <w:rsid w:val="1EEC5078"/>
    <w:rsid w:val="1F784B5D"/>
    <w:rsid w:val="206A094A"/>
    <w:rsid w:val="20F621DE"/>
    <w:rsid w:val="2183778C"/>
    <w:rsid w:val="224F1BA5"/>
    <w:rsid w:val="23963804"/>
    <w:rsid w:val="23CF156F"/>
    <w:rsid w:val="23D17158"/>
    <w:rsid w:val="23D74680"/>
    <w:rsid w:val="24003F9A"/>
    <w:rsid w:val="24612064"/>
    <w:rsid w:val="258568E5"/>
    <w:rsid w:val="26786413"/>
    <w:rsid w:val="27075337"/>
    <w:rsid w:val="273852FE"/>
    <w:rsid w:val="276205CD"/>
    <w:rsid w:val="28305FD5"/>
    <w:rsid w:val="284B1807"/>
    <w:rsid w:val="285048C9"/>
    <w:rsid w:val="285D190D"/>
    <w:rsid w:val="28A0231E"/>
    <w:rsid w:val="296550C5"/>
    <w:rsid w:val="2A781EB5"/>
    <w:rsid w:val="2B1C0A93"/>
    <w:rsid w:val="2B305A11"/>
    <w:rsid w:val="2BDE5D97"/>
    <w:rsid w:val="2C091017"/>
    <w:rsid w:val="2C1005F7"/>
    <w:rsid w:val="2C387B4E"/>
    <w:rsid w:val="2C843C01"/>
    <w:rsid w:val="2C972AC7"/>
    <w:rsid w:val="2CE675AA"/>
    <w:rsid w:val="2DFC2A03"/>
    <w:rsid w:val="30B05F05"/>
    <w:rsid w:val="31B00187"/>
    <w:rsid w:val="31CF2D03"/>
    <w:rsid w:val="31E16592"/>
    <w:rsid w:val="31F64758"/>
    <w:rsid w:val="327F17DE"/>
    <w:rsid w:val="344D1295"/>
    <w:rsid w:val="346534AA"/>
    <w:rsid w:val="346C4839"/>
    <w:rsid w:val="35AC27CE"/>
    <w:rsid w:val="365E4655"/>
    <w:rsid w:val="36B756FA"/>
    <w:rsid w:val="36C070BE"/>
    <w:rsid w:val="36DB5CA6"/>
    <w:rsid w:val="36E55469"/>
    <w:rsid w:val="37A147F9"/>
    <w:rsid w:val="37C14860"/>
    <w:rsid w:val="380075BE"/>
    <w:rsid w:val="38767EBE"/>
    <w:rsid w:val="389D76B7"/>
    <w:rsid w:val="38F1355F"/>
    <w:rsid w:val="39795919"/>
    <w:rsid w:val="39924D42"/>
    <w:rsid w:val="3A8859AA"/>
    <w:rsid w:val="3AAD3EE8"/>
    <w:rsid w:val="3B2A71FC"/>
    <w:rsid w:val="3B677B08"/>
    <w:rsid w:val="3BFF41E4"/>
    <w:rsid w:val="3C0D06AF"/>
    <w:rsid w:val="3CE1768C"/>
    <w:rsid w:val="3CFE7DCC"/>
    <w:rsid w:val="3D732FA8"/>
    <w:rsid w:val="3ECE4C27"/>
    <w:rsid w:val="3EEB7D9D"/>
    <w:rsid w:val="3F9133A5"/>
    <w:rsid w:val="40703903"/>
    <w:rsid w:val="40C81049"/>
    <w:rsid w:val="417D782B"/>
    <w:rsid w:val="41CD3E43"/>
    <w:rsid w:val="420A5691"/>
    <w:rsid w:val="42664FBD"/>
    <w:rsid w:val="429A07C3"/>
    <w:rsid w:val="46366A55"/>
    <w:rsid w:val="472D522A"/>
    <w:rsid w:val="47857A7F"/>
    <w:rsid w:val="47D93185"/>
    <w:rsid w:val="483376F0"/>
    <w:rsid w:val="486D24D6"/>
    <w:rsid w:val="488F68F0"/>
    <w:rsid w:val="48E87FE7"/>
    <w:rsid w:val="49861AA1"/>
    <w:rsid w:val="49AB70B2"/>
    <w:rsid w:val="4B5C6F5D"/>
    <w:rsid w:val="4C9E5354"/>
    <w:rsid w:val="4DF53699"/>
    <w:rsid w:val="4E61488B"/>
    <w:rsid w:val="4EAC6C14"/>
    <w:rsid w:val="4EF51FA3"/>
    <w:rsid w:val="4F02070B"/>
    <w:rsid w:val="4F3762EB"/>
    <w:rsid w:val="503D209C"/>
    <w:rsid w:val="511B6F73"/>
    <w:rsid w:val="522C5252"/>
    <w:rsid w:val="526B4D47"/>
    <w:rsid w:val="53E94B20"/>
    <w:rsid w:val="562E14F6"/>
    <w:rsid w:val="573260AD"/>
    <w:rsid w:val="57C7237C"/>
    <w:rsid w:val="580D5D10"/>
    <w:rsid w:val="58207565"/>
    <w:rsid w:val="58AB5080"/>
    <w:rsid w:val="58B76C4A"/>
    <w:rsid w:val="590830FD"/>
    <w:rsid w:val="59D457D2"/>
    <w:rsid w:val="59E5582B"/>
    <w:rsid w:val="5BB123F6"/>
    <w:rsid w:val="5C69772C"/>
    <w:rsid w:val="5CA64C5F"/>
    <w:rsid w:val="5CF81F43"/>
    <w:rsid w:val="5DED613B"/>
    <w:rsid w:val="5DF0015B"/>
    <w:rsid w:val="5E007C1C"/>
    <w:rsid w:val="5E154968"/>
    <w:rsid w:val="5E9860A7"/>
    <w:rsid w:val="5E9B7945"/>
    <w:rsid w:val="5FE175D9"/>
    <w:rsid w:val="6067300A"/>
    <w:rsid w:val="60CC64DC"/>
    <w:rsid w:val="61E9055F"/>
    <w:rsid w:val="621871E2"/>
    <w:rsid w:val="62B674A5"/>
    <w:rsid w:val="62B83C94"/>
    <w:rsid w:val="632048BD"/>
    <w:rsid w:val="6329551F"/>
    <w:rsid w:val="63FA510E"/>
    <w:rsid w:val="64805613"/>
    <w:rsid w:val="65257F68"/>
    <w:rsid w:val="65B640A4"/>
    <w:rsid w:val="66124991"/>
    <w:rsid w:val="67980EC5"/>
    <w:rsid w:val="67AC64F8"/>
    <w:rsid w:val="687126A1"/>
    <w:rsid w:val="687F3E33"/>
    <w:rsid w:val="69061A4B"/>
    <w:rsid w:val="69697E71"/>
    <w:rsid w:val="6A021292"/>
    <w:rsid w:val="6AC81AC2"/>
    <w:rsid w:val="6BB922DD"/>
    <w:rsid w:val="6C092392"/>
    <w:rsid w:val="6C2418B1"/>
    <w:rsid w:val="6CDB1EFD"/>
    <w:rsid w:val="6D45389E"/>
    <w:rsid w:val="6E922B12"/>
    <w:rsid w:val="6F0532E4"/>
    <w:rsid w:val="702521A2"/>
    <w:rsid w:val="711A0B9D"/>
    <w:rsid w:val="71D64AC4"/>
    <w:rsid w:val="732F771F"/>
    <w:rsid w:val="744A1799"/>
    <w:rsid w:val="75241FEA"/>
    <w:rsid w:val="75664E30"/>
    <w:rsid w:val="756754E8"/>
    <w:rsid w:val="76283D5C"/>
    <w:rsid w:val="76B63116"/>
    <w:rsid w:val="776C7C79"/>
    <w:rsid w:val="78227C9A"/>
    <w:rsid w:val="78807D04"/>
    <w:rsid w:val="792C22A2"/>
    <w:rsid w:val="79655759"/>
    <w:rsid w:val="7AA00930"/>
    <w:rsid w:val="7ADA719E"/>
    <w:rsid w:val="7BA63759"/>
    <w:rsid w:val="7C9C2DAE"/>
    <w:rsid w:val="7EC14B24"/>
    <w:rsid w:val="7F9E2999"/>
    <w:rsid w:val="7FA156B2"/>
    <w:rsid w:val="7FC83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Plain Text"/>
    <w:basedOn w:val="1"/>
    <w:unhideWhenUsed/>
    <w:qFormat/>
    <w:uiPriority w:val="99"/>
    <w:rPr>
      <w:rFonts w:ascii="宋体" w:hAnsi="Courier New" w:eastAsia="宋体" w:cs="Courier New"/>
      <w:szCs w:val="21"/>
    </w:rPr>
  </w:style>
  <w:style w:type="paragraph" w:styleId="5">
    <w:name w:val="Balloon Text"/>
    <w:basedOn w:val="1"/>
    <w:link w:val="13"/>
    <w:qFormat/>
    <w:uiPriority w:val="0"/>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普通(网站)1"/>
    <w:basedOn w:val="1"/>
    <w:qFormat/>
    <w:uiPriority w:val="0"/>
    <w:pPr>
      <w:widowControl/>
      <w:spacing w:beforeAutospacing="1" w:afterAutospacing="1"/>
      <w:jc w:val="left"/>
    </w:pPr>
    <w:rPr>
      <w:rFonts w:ascii="宋体" w:hAnsi="宋体" w:eastAsia="宋体" w:cs="宋体"/>
      <w:kern w:val="0"/>
      <w:sz w:val="24"/>
      <w:szCs w:val="24"/>
    </w:rPr>
  </w:style>
  <w:style w:type="paragraph" w:styleId="12">
    <w:name w:val="List Paragraph"/>
    <w:basedOn w:val="1"/>
    <w:qFormat/>
    <w:uiPriority w:val="34"/>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paragraph" w:customStyle="1" w:styleId="14">
    <w:name w:val="正文-公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3406</Words>
  <Characters>3408</Characters>
  <Lines>26</Lines>
  <Paragraphs>7</Paragraphs>
  <TotalTime>0</TotalTime>
  <ScaleCrop>false</ScaleCrop>
  <LinksUpToDate>false</LinksUpToDate>
  <CharactersWithSpaces>3448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2025-11-26T09:10:00Z</dcterms:created>
  <dc:creator>pc</dc:creator>
  <cp:lastModifiedBy>徐冲:拟稿人校对</cp:lastModifiedBy>
  <cp:lastPrinted>2025-12-16T04:20:00Z</cp:lastPrinted>
  <dcterms:modified xsi:type="dcterms:W3CDTF">2025-12-17T08:15:34Z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65095A89CB094EB78A4410DB6F961FBC_13</vt:lpwstr>
  </property>
</Properties>
</file>